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7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4000"/>
      </w:tblGrid>
      <w:tr w:rsidR="00A832DD" w:rsidRPr="001E46E0" w:rsidTr="00A832DD">
        <w:tc>
          <w:tcPr>
            <w:tcW w:w="4077" w:type="dxa"/>
            <w:vAlign w:val="center"/>
            <w:hideMark/>
          </w:tcPr>
          <w:p w:rsidR="00A832DD" w:rsidRDefault="00A832DD" w:rsidP="00A832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A832DD" w:rsidRDefault="00A832DD" w:rsidP="00A832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A832DD" w:rsidRDefault="00A832DD" w:rsidP="00A832D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418" w:type="dxa"/>
            <w:hideMark/>
          </w:tcPr>
          <w:p w:rsidR="00A832DD" w:rsidRDefault="00A832DD" w:rsidP="00A832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2494DF9" wp14:editId="1141332F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Align w:val="center"/>
            <w:hideMark/>
          </w:tcPr>
          <w:p w:rsidR="00A832DD" w:rsidRDefault="00A832DD" w:rsidP="00A832D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A832DD" w:rsidRDefault="00A832DD" w:rsidP="00A832D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BF17D6">
        <w:tc>
          <w:tcPr>
            <w:tcW w:w="4139" w:type="dxa"/>
            <w:hideMark/>
          </w:tcPr>
          <w:p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Default="00BF17D6" w:rsidP="006307FC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25 </w:t>
            </w:r>
            <w:r w:rsidR="00EC4C5C">
              <w:rPr>
                <w:bCs/>
                <w:sz w:val="28"/>
                <w:szCs w:val="28"/>
                <w:lang w:eastAsia="en-US"/>
              </w:rPr>
              <w:t>декабря</w:t>
            </w:r>
            <w:r w:rsidR="00764A98">
              <w:rPr>
                <w:bCs/>
                <w:sz w:val="28"/>
                <w:szCs w:val="28"/>
                <w:lang w:eastAsia="en-US"/>
              </w:rPr>
              <w:t xml:space="preserve"> 2017 года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4-</w:t>
            </w:r>
            <w:r w:rsidR="00BF17D6">
              <w:rPr>
                <w:bCs/>
                <w:sz w:val="28"/>
                <w:szCs w:val="28"/>
                <w:lang w:eastAsia="en-US"/>
              </w:rPr>
              <w:t>10/47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EA7DCB" w:rsidRDefault="00EA7DCB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BF17D6" w:rsidRDefault="00EA7DCB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BF17D6">
        <w:rPr>
          <w:b/>
          <w:sz w:val="26"/>
          <w:szCs w:val="26"/>
        </w:rPr>
        <w:t xml:space="preserve">О внесении изменений в решение Совета городского поселения </w:t>
      </w:r>
      <w:r w:rsidR="000E40B4" w:rsidRPr="00BF17D6">
        <w:rPr>
          <w:b/>
          <w:sz w:val="26"/>
          <w:szCs w:val="26"/>
        </w:rPr>
        <w:t>«</w:t>
      </w:r>
      <w:r w:rsidR="00902E9A" w:rsidRPr="00BF17D6">
        <w:rPr>
          <w:b/>
          <w:sz w:val="26"/>
          <w:szCs w:val="26"/>
        </w:rPr>
        <w:t>Печора</w:t>
      </w:r>
      <w:r w:rsidR="000E40B4" w:rsidRPr="00BF17D6">
        <w:rPr>
          <w:b/>
          <w:sz w:val="26"/>
          <w:szCs w:val="26"/>
        </w:rPr>
        <w:t>»</w:t>
      </w:r>
      <w:r w:rsidR="00902E9A" w:rsidRPr="00BF17D6">
        <w:rPr>
          <w:b/>
          <w:sz w:val="26"/>
          <w:szCs w:val="26"/>
        </w:rPr>
        <w:t xml:space="preserve"> </w:t>
      </w:r>
    </w:p>
    <w:p w:rsidR="00BF17D6" w:rsidRDefault="00BF17D6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12</w:t>
      </w:r>
      <w:r w:rsidR="000E40B4" w:rsidRPr="00BF17D6">
        <w:rPr>
          <w:b/>
          <w:sz w:val="26"/>
          <w:szCs w:val="26"/>
        </w:rPr>
        <w:t xml:space="preserve"> мая 2017 года </w:t>
      </w:r>
      <w:r w:rsidR="00EA7DCB" w:rsidRPr="00BF17D6">
        <w:rPr>
          <w:b/>
          <w:sz w:val="26"/>
          <w:szCs w:val="26"/>
        </w:rPr>
        <w:t xml:space="preserve">№ 4-6/27 «Об организации ритуальных услуг </w:t>
      </w:r>
    </w:p>
    <w:p w:rsidR="00BF17D6" w:rsidRDefault="00EA7DCB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BF17D6">
        <w:rPr>
          <w:b/>
          <w:sz w:val="26"/>
          <w:szCs w:val="26"/>
        </w:rPr>
        <w:t xml:space="preserve">и </w:t>
      </w:r>
      <w:proofErr w:type="gramStart"/>
      <w:r w:rsidRPr="00BF17D6">
        <w:rPr>
          <w:b/>
          <w:sz w:val="26"/>
          <w:szCs w:val="26"/>
        </w:rPr>
        <w:t>содержании</w:t>
      </w:r>
      <w:proofErr w:type="gramEnd"/>
      <w:r w:rsidRPr="00BF17D6">
        <w:rPr>
          <w:b/>
          <w:sz w:val="26"/>
          <w:szCs w:val="26"/>
        </w:rPr>
        <w:t xml:space="preserve"> мест погребения на территории </w:t>
      </w:r>
    </w:p>
    <w:p w:rsidR="00764A98" w:rsidRPr="00BF17D6" w:rsidRDefault="00EA7DCB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BF17D6">
        <w:rPr>
          <w:b/>
          <w:sz w:val="26"/>
          <w:szCs w:val="26"/>
        </w:rPr>
        <w:t xml:space="preserve">муниципального образования городского поселения «Печора» </w:t>
      </w:r>
    </w:p>
    <w:p w:rsidR="00764A98" w:rsidRPr="00BF17D6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932C88" w:rsidRPr="00932C88" w:rsidRDefault="00932C88" w:rsidP="00932C88">
      <w:pPr>
        <w:pStyle w:val="3"/>
        <w:autoSpaceDE/>
        <w:adjustRightInd/>
        <w:ind w:firstLine="708"/>
        <w:jc w:val="both"/>
        <w:rPr>
          <w:sz w:val="26"/>
          <w:szCs w:val="26"/>
        </w:rPr>
      </w:pPr>
      <w:r w:rsidRPr="00932C88">
        <w:rPr>
          <w:sz w:val="26"/>
          <w:szCs w:val="26"/>
        </w:rPr>
        <w:t>В соответствии с пунктом 22 части 1 статьи</w:t>
      </w:r>
      <w:r w:rsidR="00BF17D6">
        <w:rPr>
          <w:sz w:val="26"/>
          <w:szCs w:val="26"/>
        </w:rPr>
        <w:t xml:space="preserve"> 14 Федерального закона от 06 </w:t>
      </w:r>
      <w:proofErr w:type="gramStart"/>
      <w:r w:rsidR="00BF17D6">
        <w:rPr>
          <w:sz w:val="26"/>
          <w:szCs w:val="26"/>
        </w:rPr>
        <w:t>октября 2003 года</w:t>
      </w:r>
      <w:r w:rsidRPr="00932C8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932C88">
          <w:rPr>
            <w:rStyle w:val="a6"/>
            <w:color w:val="auto"/>
            <w:sz w:val="26"/>
            <w:szCs w:val="26"/>
            <w:u w:val="none"/>
          </w:rPr>
          <w:t xml:space="preserve">от </w:t>
        </w:r>
        <w:r w:rsidR="00BF17D6">
          <w:rPr>
            <w:rStyle w:val="a6"/>
            <w:color w:val="auto"/>
            <w:sz w:val="26"/>
            <w:szCs w:val="26"/>
            <w:u w:val="none"/>
          </w:rPr>
          <w:t xml:space="preserve">12 января </w:t>
        </w:r>
        <w:r w:rsidRPr="00932C88">
          <w:rPr>
            <w:rStyle w:val="a6"/>
            <w:color w:val="auto"/>
            <w:sz w:val="26"/>
            <w:szCs w:val="26"/>
            <w:u w:val="none"/>
          </w:rPr>
          <w:t>1996 г</w:t>
        </w:r>
        <w:r w:rsidR="00BF17D6">
          <w:rPr>
            <w:rStyle w:val="a6"/>
            <w:color w:val="auto"/>
            <w:sz w:val="26"/>
            <w:szCs w:val="26"/>
            <w:u w:val="none"/>
          </w:rPr>
          <w:t>ода №</w:t>
        </w:r>
        <w:r w:rsidRPr="00932C88">
          <w:rPr>
            <w:rStyle w:val="a6"/>
            <w:color w:val="auto"/>
            <w:sz w:val="26"/>
            <w:szCs w:val="26"/>
            <w:u w:val="none"/>
          </w:rPr>
          <w:t xml:space="preserve"> 8-ФЗ «О погребении и похоронном деле»</w:t>
        </w:r>
      </w:hyperlink>
      <w:r w:rsidRPr="00932C88">
        <w:rPr>
          <w:sz w:val="26"/>
          <w:szCs w:val="26"/>
        </w:rPr>
        <w:t>, Постановлением Главного государственного санитарного врача РФ от 28.06.2011 г.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 статьёй 30 Устава муниципального образования городского</w:t>
      </w:r>
      <w:proofErr w:type="gramEnd"/>
      <w:r w:rsidRPr="00932C88">
        <w:rPr>
          <w:sz w:val="26"/>
          <w:szCs w:val="26"/>
        </w:rPr>
        <w:t xml:space="preserve"> поселения «Печора», Совет городского поселения «Печора» </w:t>
      </w:r>
      <w:proofErr w:type="gramStart"/>
      <w:r w:rsidRPr="00932C88">
        <w:rPr>
          <w:b/>
          <w:sz w:val="26"/>
          <w:szCs w:val="26"/>
        </w:rPr>
        <w:t>р</w:t>
      </w:r>
      <w:proofErr w:type="gramEnd"/>
      <w:r w:rsidR="00BF17D6">
        <w:rPr>
          <w:b/>
          <w:sz w:val="26"/>
          <w:szCs w:val="26"/>
        </w:rPr>
        <w:t xml:space="preserve"> </w:t>
      </w:r>
      <w:r w:rsidRPr="00932C88">
        <w:rPr>
          <w:b/>
          <w:sz w:val="26"/>
          <w:szCs w:val="26"/>
        </w:rPr>
        <w:t>е</w:t>
      </w:r>
      <w:r w:rsidR="00BF17D6">
        <w:rPr>
          <w:b/>
          <w:sz w:val="26"/>
          <w:szCs w:val="26"/>
        </w:rPr>
        <w:t xml:space="preserve"> </w:t>
      </w:r>
      <w:r w:rsidRPr="00932C88">
        <w:rPr>
          <w:b/>
          <w:sz w:val="26"/>
          <w:szCs w:val="26"/>
        </w:rPr>
        <w:t>ш</w:t>
      </w:r>
      <w:r w:rsidR="00BF17D6">
        <w:rPr>
          <w:b/>
          <w:sz w:val="26"/>
          <w:szCs w:val="26"/>
        </w:rPr>
        <w:t xml:space="preserve"> </w:t>
      </w:r>
      <w:r w:rsidRPr="00932C88">
        <w:rPr>
          <w:b/>
          <w:sz w:val="26"/>
          <w:szCs w:val="26"/>
        </w:rPr>
        <w:t>и</w:t>
      </w:r>
      <w:r w:rsidR="00BF17D6">
        <w:rPr>
          <w:b/>
          <w:sz w:val="26"/>
          <w:szCs w:val="26"/>
        </w:rPr>
        <w:t xml:space="preserve"> </w:t>
      </w:r>
      <w:r w:rsidRPr="00932C88">
        <w:rPr>
          <w:b/>
          <w:sz w:val="26"/>
          <w:szCs w:val="26"/>
        </w:rPr>
        <w:t>л</w:t>
      </w:r>
      <w:r w:rsidRPr="00932C88">
        <w:rPr>
          <w:sz w:val="26"/>
          <w:szCs w:val="26"/>
        </w:rPr>
        <w:t>:</w:t>
      </w:r>
    </w:p>
    <w:p w:rsidR="00F040A9" w:rsidRDefault="00F040A9" w:rsidP="00764A98">
      <w:pPr>
        <w:pStyle w:val="3"/>
        <w:suppressAutoHyphens w:val="0"/>
        <w:autoSpaceDE/>
        <w:adjustRightInd/>
        <w:ind w:firstLine="708"/>
        <w:jc w:val="both"/>
        <w:rPr>
          <w:b/>
          <w:sz w:val="26"/>
          <w:szCs w:val="26"/>
        </w:rPr>
      </w:pP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 w:rsidRPr="00DB1B66">
        <w:rPr>
          <w:bCs/>
          <w:sz w:val="26"/>
          <w:szCs w:val="26"/>
        </w:rPr>
        <w:t>1. Внести в решение Совета городско</w:t>
      </w:r>
      <w:r w:rsidR="00BF17D6">
        <w:rPr>
          <w:bCs/>
          <w:sz w:val="26"/>
          <w:szCs w:val="26"/>
        </w:rPr>
        <w:t>го поселения «Печора» от 12 мая</w:t>
      </w:r>
      <w:r w:rsidRPr="00DB1B66">
        <w:rPr>
          <w:bCs/>
          <w:sz w:val="26"/>
          <w:szCs w:val="26"/>
        </w:rPr>
        <w:t xml:space="preserve"> 2017 года № 4-6/27 «Об организации ритуальных услуг и содержании мест погребения на территории муниципального образования городского поселения «Печора» следующие изменения: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BF17D6">
        <w:rPr>
          <w:bCs/>
          <w:sz w:val="26"/>
          <w:szCs w:val="26"/>
        </w:rPr>
        <w:t>В приложении 1 к р</w:t>
      </w:r>
      <w:r w:rsidRPr="00DB1B66">
        <w:rPr>
          <w:bCs/>
          <w:sz w:val="26"/>
          <w:szCs w:val="26"/>
        </w:rPr>
        <w:t>ешению: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1.1.1. </w:t>
      </w:r>
      <w:r w:rsidRPr="00DB1B66">
        <w:rPr>
          <w:bCs/>
          <w:sz w:val="26"/>
          <w:szCs w:val="26"/>
        </w:rPr>
        <w:t>Пункт 1.3. изложить в следующей редакции: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DB1B66">
        <w:rPr>
          <w:bCs/>
          <w:sz w:val="26"/>
          <w:szCs w:val="26"/>
        </w:rPr>
        <w:t>1.3. Специализированная служба осуществляет: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1.3.1. </w:t>
      </w:r>
      <w:r w:rsidRPr="00DB1B66">
        <w:rPr>
          <w:bCs/>
          <w:sz w:val="26"/>
          <w:szCs w:val="26"/>
        </w:rPr>
        <w:t>круглосуточн</w:t>
      </w:r>
      <w:r w:rsidR="00BF17D6">
        <w:rPr>
          <w:bCs/>
          <w:sz w:val="26"/>
          <w:szCs w:val="26"/>
        </w:rPr>
        <w:t>ый прием заказов на перевозку (транспортирование) тел (</w:t>
      </w:r>
      <w:r w:rsidRPr="00DB1B66">
        <w:rPr>
          <w:bCs/>
          <w:sz w:val="26"/>
          <w:szCs w:val="26"/>
        </w:rPr>
        <w:t>останков) умерших с места обнаружения в морг с их фактическим исполнением;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1.3.2. </w:t>
      </w:r>
      <w:r w:rsidRPr="00DB1B66">
        <w:rPr>
          <w:bCs/>
          <w:sz w:val="26"/>
          <w:szCs w:val="26"/>
        </w:rPr>
        <w:t>погребение умершего и предоставление гарантированного перечня услуг по погребению;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1.3.3. </w:t>
      </w:r>
      <w:r w:rsidRPr="00DB1B66">
        <w:rPr>
          <w:bCs/>
          <w:sz w:val="26"/>
          <w:szCs w:val="26"/>
        </w:rPr>
        <w:t>исполнение волеизъявления умершего о погребении в случае мотивированного отказа исполнителя волеизъявления или супруга, близкого родственника, иного родственника либо законного представителя ум</w:t>
      </w:r>
      <w:r w:rsidR="00BF17D6">
        <w:rPr>
          <w:bCs/>
          <w:sz w:val="26"/>
          <w:szCs w:val="26"/>
        </w:rPr>
        <w:t>ершего от исполнения погребения</w:t>
      </w:r>
      <w:r w:rsidRPr="00DB1B66">
        <w:rPr>
          <w:bCs/>
          <w:sz w:val="26"/>
          <w:szCs w:val="26"/>
        </w:rPr>
        <w:t xml:space="preserve">, либо погребение </w:t>
      </w:r>
      <w:proofErr w:type="gramStart"/>
      <w:r w:rsidRPr="00DB1B66">
        <w:rPr>
          <w:bCs/>
          <w:sz w:val="26"/>
          <w:szCs w:val="26"/>
        </w:rPr>
        <w:t>безродных</w:t>
      </w:r>
      <w:proofErr w:type="gramEnd"/>
      <w:r w:rsidRPr="00DB1B66">
        <w:rPr>
          <w:bCs/>
          <w:sz w:val="26"/>
          <w:szCs w:val="26"/>
        </w:rPr>
        <w:t>;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1.3.4. п</w:t>
      </w:r>
      <w:r w:rsidRPr="00DB1B66">
        <w:rPr>
          <w:bCs/>
          <w:sz w:val="26"/>
          <w:szCs w:val="26"/>
        </w:rPr>
        <w:t>роведение эксгумации и перезахоронения умерших (останков);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1.3.5. п</w:t>
      </w:r>
      <w:r w:rsidRPr="00DB1B66">
        <w:rPr>
          <w:bCs/>
          <w:sz w:val="26"/>
          <w:szCs w:val="26"/>
        </w:rPr>
        <w:t>роверка содержания гроба, герметизация и выдача соответствующей спр</w:t>
      </w:r>
      <w:r w:rsidR="00BF17D6">
        <w:rPr>
          <w:bCs/>
          <w:sz w:val="26"/>
          <w:szCs w:val="26"/>
        </w:rPr>
        <w:t>авки при транспортировке тела (</w:t>
      </w:r>
      <w:r w:rsidRPr="00DB1B66">
        <w:rPr>
          <w:bCs/>
          <w:sz w:val="26"/>
          <w:szCs w:val="26"/>
        </w:rPr>
        <w:t>останков) умершего за пределы города и район</w:t>
      </w:r>
      <w:bookmarkStart w:id="0" w:name="_GoBack"/>
      <w:bookmarkEnd w:id="0"/>
      <w:r w:rsidRPr="00DB1B66">
        <w:rPr>
          <w:bCs/>
          <w:sz w:val="26"/>
          <w:szCs w:val="26"/>
        </w:rPr>
        <w:t>а</w:t>
      </w:r>
      <w:proofErr w:type="gramStart"/>
      <w:r w:rsidRPr="00DB1B66">
        <w:rPr>
          <w:bCs/>
          <w:sz w:val="26"/>
          <w:szCs w:val="26"/>
        </w:rPr>
        <w:t>.».</w:t>
      </w:r>
      <w:proofErr w:type="gramEnd"/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1.1.2. </w:t>
      </w:r>
      <w:r w:rsidRPr="00DB1B66">
        <w:rPr>
          <w:bCs/>
          <w:sz w:val="26"/>
          <w:szCs w:val="26"/>
        </w:rPr>
        <w:t>В пункте 2.1. слова «специа</w:t>
      </w:r>
      <w:r w:rsidR="00BF17D6">
        <w:rPr>
          <w:bCs/>
          <w:sz w:val="26"/>
          <w:szCs w:val="26"/>
        </w:rPr>
        <w:t>лизированной службой» исключить</w:t>
      </w:r>
      <w:r w:rsidRPr="00DB1B66">
        <w:rPr>
          <w:bCs/>
          <w:sz w:val="26"/>
          <w:szCs w:val="26"/>
        </w:rPr>
        <w:t>.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1.1.3. </w:t>
      </w:r>
      <w:r w:rsidRPr="00DB1B66">
        <w:rPr>
          <w:bCs/>
          <w:sz w:val="26"/>
          <w:szCs w:val="26"/>
        </w:rPr>
        <w:t>Пункт 2.2. изложить в следующей редакции: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 w:rsidRPr="00DB1B66">
        <w:rPr>
          <w:bCs/>
          <w:sz w:val="26"/>
          <w:szCs w:val="26"/>
        </w:rPr>
        <w:t>«2.2. Ритуальные услуги оказываются путем оформления заказа на погребение, зарегистрированного в администрации МР «Печора». Фактическим началом предоставления ритуальных услуг считается момент поступления заказа на перевозку (транспортирование) тел ( останков) умерших с места обнаружения в морг</w:t>
      </w:r>
      <w:proofErr w:type="gramStart"/>
      <w:r w:rsidRPr="00DB1B66">
        <w:rPr>
          <w:bCs/>
          <w:sz w:val="26"/>
          <w:szCs w:val="26"/>
        </w:rPr>
        <w:t>.».</w:t>
      </w:r>
      <w:proofErr w:type="gramEnd"/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 </w:t>
      </w:r>
      <w:r w:rsidRPr="00DB1B66">
        <w:rPr>
          <w:bCs/>
          <w:sz w:val="26"/>
          <w:szCs w:val="26"/>
        </w:rPr>
        <w:t>В пункте 2.7 слово «дополнит</w:t>
      </w:r>
      <w:r w:rsidR="00BF17D6">
        <w:rPr>
          <w:bCs/>
          <w:sz w:val="26"/>
          <w:szCs w:val="26"/>
        </w:rPr>
        <w:t>ельные» исключить, после слов «</w:t>
      </w:r>
      <w:r w:rsidRPr="00DB1B66">
        <w:rPr>
          <w:bCs/>
          <w:sz w:val="26"/>
          <w:szCs w:val="26"/>
        </w:rPr>
        <w:t>в соответствии с действующим законодательством» дополнить сло</w:t>
      </w:r>
      <w:r w:rsidR="00BF17D6">
        <w:rPr>
          <w:bCs/>
          <w:sz w:val="26"/>
          <w:szCs w:val="26"/>
        </w:rPr>
        <w:t>вами «</w:t>
      </w:r>
      <w:r w:rsidRPr="00DB1B66">
        <w:rPr>
          <w:bCs/>
          <w:sz w:val="26"/>
          <w:szCs w:val="26"/>
        </w:rPr>
        <w:t>о погребении и похоронном деле и санитарными нормами и правилами».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1.1.5. </w:t>
      </w:r>
      <w:r w:rsidR="00BF17D6">
        <w:rPr>
          <w:bCs/>
          <w:sz w:val="26"/>
          <w:szCs w:val="26"/>
        </w:rPr>
        <w:t>В пункте 2.9. числа «2.3, 2.8» заменить числами «</w:t>
      </w:r>
      <w:r w:rsidRPr="00DB1B66">
        <w:rPr>
          <w:bCs/>
          <w:sz w:val="26"/>
          <w:szCs w:val="26"/>
        </w:rPr>
        <w:t>2.2, 2.3, 2.8».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1.1.6. </w:t>
      </w:r>
      <w:r w:rsidRPr="00DB1B66">
        <w:rPr>
          <w:bCs/>
          <w:sz w:val="26"/>
          <w:szCs w:val="26"/>
        </w:rPr>
        <w:t>Подпункт 2.9.4 пункта 2.9 изложить в следующей редакции: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DB1B66">
        <w:rPr>
          <w:bCs/>
          <w:sz w:val="26"/>
          <w:szCs w:val="26"/>
        </w:rPr>
        <w:t>2.9.4 Перевозка тела (останков) умершего включает: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BF17D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перевозку гроба с телом (</w:t>
      </w:r>
      <w:r w:rsidRPr="00DB1B66">
        <w:rPr>
          <w:bCs/>
          <w:sz w:val="26"/>
          <w:szCs w:val="26"/>
        </w:rPr>
        <w:t>останками) умершего</w:t>
      </w:r>
      <w:r>
        <w:rPr>
          <w:bCs/>
          <w:sz w:val="26"/>
          <w:szCs w:val="26"/>
        </w:rPr>
        <w:t xml:space="preserve"> с места обнаружения до морга (</w:t>
      </w:r>
      <w:r w:rsidRPr="00DB1B66">
        <w:rPr>
          <w:bCs/>
          <w:sz w:val="26"/>
          <w:szCs w:val="26"/>
        </w:rPr>
        <w:t>дома и</w:t>
      </w:r>
      <w:r>
        <w:rPr>
          <w:bCs/>
          <w:sz w:val="26"/>
          <w:szCs w:val="26"/>
        </w:rPr>
        <w:t>ли иной организации), из дома (</w:t>
      </w:r>
      <w:r w:rsidRPr="00DB1B66">
        <w:rPr>
          <w:bCs/>
          <w:sz w:val="26"/>
          <w:szCs w:val="26"/>
        </w:rPr>
        <w:t>морг</w:t>
      </w:r>
      <w:r w:rsidR="00BF17D6">
        <w:rPr>
          <w:bCs/>
          <w:sz w:val="26"/>
          <w:szCs w:val="26"/>
        </w:rPr>
        <w:t>а) до кладбища автокатафалком (</w:t>
      </w:r>
      <w:r w:rsidRPr="00DB1B66">
        <w:rPr>
          <w:bCs/>
          <w:sz w:val="26"/>
          <w:szCs w:val="26"/>
        </w:rPr>
        <w:t>специализированным транспортом) с соблюдением скорости, не превышающей 40 км/час;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 w:rsidRPr="00DB1B66">
        <w:rPr>
          <w:bCs/>
          <w:sz w:val="26"/>
          <w:szCs w:val="26"/>
        </w:rPr>
        <w:t>- переноска гроба</w:t>
      </w:r>
      <w:r w:rsidR="00BF17D6">
        <w:rPr>
          <w:bCs/>
          <w:sz w:val="26"/>
          <w:szCs w:val="26"/>
        </w:rPr>
        <w:t xml:space="preserve"> с телом (</w:t>
      </w:r>
      <w:r w:rsidRPr="00DB1B66">
        <w:rPr>
          <w:bCs/>
          <w:sz w:val="26"/>
          <w:szCs w:val="26"/>
        </w:rPr>
        <w:t>останками) умершего до места захоронения</w:t>
      </w:r>
      <w:proofErr w:type="gramStart"/>
      <w:r w:rsidRPr="00DB1B66">
        <w:rPr>
          <w:bCs/>
          <w:sz w:val="26"/>
          <w:szCs w:val="26"/>
        </w:rPr>
        <w:t>.». </w:t>
      </w:r>
      <w:proofErr w:type="gramEnd"/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1.1.7. </w:t>
      </w:r>
      <w:r w:rsidRPr="00DB1B66">
        <w:rPr>
          <w:bCs/>
          <w:sz w:val="26"/>
          <w:szCs w:val="26"/>
        </w:rPr>
        <w:t>Пункт 2.9. дополнить подпунктом 2.9.7 следующего содержания: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DB1B66">
        <w:rPr>
          <w:bCs/>
          <w:sz w:val="26"/>
          <w:szCs w:val="26"/>
        </w:rPr>
        <w:t xml:space="preserve">2.9.7 После каждой перевозки и захоронения </w:t>
      </w:r>
      <w:proofErr w:type="gramStart"/>
      <w:r w:rsidRPr="00DB1B66">
        <w:rPr>
          <w:bCs/>
          <w:sz w:val="26"/>
          <w:szCs w:val="26"/>
        </w:rPr>
        <w:t>умерших</w:t>
      </w:r>
      <w:proofErr w:type="gramEnd"/>
      <w:r w:rsidRPr="00DB1B66">
        <w:rPr>
          <w:bCs/>
          <w:sz w:val="26"/>
          <w:szCs w:val="26"/>
        </w:rPr>
        <w:t>, автотранспорт должен в</w:t>
      </w:r>
      <w:r>
        <w:rPr>
          <w:bCs/>
          <w:sz w:val="26"/>
          <w:szCs w:val="26"/>
        </w:rPr>
        <w:t xml:space="preserve"> </w:t>
      </w:r>
      <w:r w:rsidRPr="00DB1B66">
        <w:rPr>
          <w:bCs/>
          <w:sz w:val="26"/>
          <w:szCs w:val="26"/>
        </w:rPr>
        <w:t>обязательном порядке подвергаться уборке и дезинфекции дезинфекционными средствами,</w:t>
      </w:r>
      <w:r>
        <w:rPr>
          <w:bCs/>
          <w:sz w:val="26"/>
          <w:szCs w:val="26"/>
        </w:rPr>
        <w:t xml:space="preserve"> </w:t>
      </w:r>
      <w:r w:rsidRPr="00DB1B66">
        <w:rPr>
          <w:bCs/>
          <w:sz w:val="26"/>
          <w:szCs w:val="26"/>
        </w:rPr>
        <w:t>разрешенными к применению в установленном порядке.».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Pr="00DB1B66">
        <w:rPr>
          <w:bCs/>
          <w:sz w:val="26"/>
          <w:szCs w:val="26"/>
        </w:rPr>
        <w:t xml:space="preserve">В приложении 2 к </w:t>
      </w:r>
      <w:r w:rsidR="00BF17D6">
        <w:rPr>
          <w:bCs/>
          <w:sz w:val="26"/>
          <w:szCs w:val="26"/>
        </w:rPr>
        <w:t>р</w:t>
      </w:r>
      <w:r w:rsidRPr="00DB1B66">
        <w:rPr>
          <w:bCs/>
          <w:sz w:val="26"/>
          <w:szCs w:val="26"/>
        </w:rPr>
        <w:t>ешению: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1.2.1. </w:t>
      </w:r>
      <w:r w:rsidRPr="00DB1B66">
        <w:rPr>
          <w:bCs/>
          <w:sz w:val="26"/>
          <w:szCs w:val="26"/>
        </w:rPr>
        <w:t>В пункте 2.1 слова «специализированной службой по вопросам похоронного дела» заменить словами «администрацией МР «Печора».</w:t>
      </w: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1.2.2. </w:t>
      </w:r>
      <w:r w:rsidRPr="00DB1B66">
        <w:rPr>
          <w:bCs/>
          <w:sz w:val="26"/>
          <w:szCs w:val="26"/>
        </w:rPr>
        <w:t>Абзац второй пункта 2.3 изложить в следующей редакции:</w:t>
      </w:r>
    </w:p>
    <w:p w:rsidR="00DB1B66" w:rsidRPr="00DB1B66" w:rsidRDefault="00BF17D6" w:rsidP="00DB1B66">
      <w:pPr>
        <w:pStyle w:val="3"/>
        <w:ind w:firstLine="708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«</w:t>
      </w:r>
      <w:r w:rsidR="00DB1B66" w:rsidRPr="00DB1B66">
        <w:rPr>
          <w:bCs/>
          <w:sz w:val="26"/>
          <w:szCs w:val="26"/>
        </w:rPr>
        <w:t>Исполнение волеизъявления у</w:t>
      </w:r>
      <w:r w:rsidR="00A832DD">
        <w:rPr>
          <w:bCs/>
          <w:sz w:val="26"/>
          <w:szCs w:val="26"/>
        </w:rPr>
        <w:t>мершего о погребении его тела (</w:t>
      </w:r>
      <w:r w:rsidR="00DB1B66" w:rsidRPr="00DB1B66">
        <w:rPr>
          <w:bCs/>
          <w:sz w:val="26"/>
          <w:szCs w:val="26"/>
        </w:rPr>
        <w:t>останков) или праха на указанном им месте погребения - рядом с ранее умершими, гарантируется при наличии на указанном месте погребения свободного участка земли и могилы ранее у</w:t>
      </w:r>
      <w:r w:rsidR="00A832DD">
        <w:rPr>
          <w:bCs/>
          <w:sz w:val="26"/>
          <w:szCs w:val="26"/>
        </w:rPr>
        <w:t>мершего близкого родственника (</w:t>
      </w:r>
      <w:r w:rsidR="00DB1B66" w:rsidRPr="00DB1B66">
        <w:rPr>
          <w:bCs/>
          <w:sz w:val="26"/>
          <w:szCs w:val="26"/>
        </w:rPr>
        <w:t>ранее умершего супруга).».</w:t>
      </w:r>
      <w:proofErr w:type="gramEnd"/>
    </w:p>
    <w:p w:rsidR="00DB1B66" w:rsidRPr="00DB1B66" w:rsidRDefault="00D62475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1.2.3. </w:t>
      </w:r>
      <w:r w:rsidR="00DB1B66" w:rsidRPr="00DB1B66">
        <w:rPr>
          <w:bCs/>
          <w:sz w:val="26"/>
          <w:szCs w:val="26"/>
        </w:rPr>
        <w:t>В пункте 2.5. слова «специализированной службой» заменить словами «администрацией МР «Печора».</w:t>
      </w:r>
    </w:p>
    <w:p w:rsidR="00DB1B66" w:rsidRPr="00DB1B66" w:rsidRDefault="00D62475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1.2.4. </w:t>
      </w:r>
      <w:r w:rsidR="00DB1B66" w:rsidRPr="00DB1B66">
        <w:rPr>
          <w:bCs/>
          <w:sz w:val="26"/>
          <w:szCs w:val="26"/>
        </w:rPr>
        <w:t>В пункте 2.7. слова «специализированной службой» заменить словами «администрацией МР «Печора».</w:t>
      </w:r>
    </w:p>
    <w:p w:rsidR="00A832DD" w:rsidRDefault="00D62475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1.2.5. </w:t>
      </w:r>
      <w:r w:rsidR="00DB1B66" w:rsidRPr="00DB1B66">
        <w:rPr>
          <w:bCs/>
          <w:sz w:val="26"/>
          <w:szCs w:val="26"/>
        </w:rPr>
        <w:t xml:space="preserve">Подпункт </w:t>
      </w:r>
      <w:r>
        <w:rPr>
          <w:bCs/>
          <w:sz w:val="26"/>
          <w:szCs w:val="26"/>
        </w:rPr>
        <w:t>4)</w:t>
      </w:r>
      <w:r w:rsidRPr="00DB1B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пункта </w:t>
      </w:r>
      <w:r w:rsidRPr="00DB1B6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.2. </w:t>
      </w:r>
      <w:r w:rsidR="00DB1B66" w:rsidRPr="00DB1B66">
        <w:rPr>
          <w:bCs/>
          <w:sz w:val="26"/>
          <w:szCs w:val="26"/>
        </w:rPr>
        <w:t>дополнить предло</w:t>
      </w:r>
      <w:r>
        <w:rPr>
          <w:bCs/>
          <w:sz w:val="26"/>
          <w:szCs w:val="26"/>
        </w:rPr>
        <w:t xml:space="preserve">жением следующего содержания: </w:t>
      </w:r>
    </w:p>
    <w:p w:rsidR="00DB1B66" w:rsidRPr="00DB1B66" w:rsidRDefault="00D62475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DB1B66" w:rsidRPr="00DB1B66">
        <w:rPr>
          <w:bCs/>
          <w:sz w:val="26"/>
          <w:szCs w:val="26"/>
        </w:rPr>
        <w:t>Старые надмогильные сооружения в форме православных крестов и символов веры иных конфессий складировать в специально отведенном для этого месте».</w:t>
      </w:r>
    </w:p>
    <w:p w:rsidR="00DB1B66" w:rsidRDefault="00A832DD" w:rsidP="00DB1B66">
      <w:pPr>
        <w:pStyle w:val="3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1.2.6 </w:t>
      </w:r>
      <w:r w:rsidR="00DB1B66" w:rsidRPr="00DB1B66">
        <w:rPr>
          <w:bCs/>
          <w:sz w:val="26"/>
          <w:szCs w:val="26"/>
        </w:rPr>
        <w:t>Подпункт 6</w:t>
      </w:r>
      <w:r w:rsidR="00D62475">
        <w:rPr>
          <w:bCs/>
          <w:sz w:val="26"/>
          <w:szCs w:val="26"/>
        </w:rPr>
        <w:t>) пункта 4.3</w:t>
      </w:r>
      <w:r w:rsidR="00DB1B66" w:rsidRPr="00DB1B66">
        <w:rPr>
          <w:bCs/>
          <w:sz w:val="26"/>
          <w:szCs w:val="26"/>
        </w:rPr>
        <w:t>. после слов «похоронных</w:t>
      </w:r>
      <w:r w:rsidR="00D62475">
        <w:rPr>
          <w:bCs/>
          <w:sz w:val="26"/>
          <w:szCs w:val="26"/>
        </w:rPr>
        <w:t xml:space="preserve"> процессий» дополнить словами «</w:t>
      </w:r>
      <w:r w:rsidR="00DB1B66" w:rsidRPr="00DB1B66">
        <w:rPr>
          <w:bCs/>
          <w:sz w:val="26"/>
          <w:szCs w:val="26"/>
        </w:rPr>
        <w:t>и случаев установки (замены) надмогильных сооружений».</w:t>
      </w:r>
    </w:p>
    <w:p w:rsidR="00A832DD" w:rsidRPr="00DB1B66" w:rsidRDefault="00A832DD" w:rsidP="00DB1B66">
      <w:pPr>
        <w:pStyle w:val="3"/>
        <w:ind w:firstLine="708"/>
        <w:jc w:val="both"/>
        <w:rPr>
          <w:bCs/>
          <w:sz w:val="26"/>
          <w:szCs w:val="26"/>
        </w:rPr>
      </w:pPr>
    </w:p>
    <w:p w:rsidR="00DB1B66" w:rsidRPr="00DB1B66" w:rsidRDefault="00DB1B66" w:rsidP="00DB1B66">
      <w:pPr>
        <w:pStyle w:val="3"/>
        <w:ind w:firstLine="708"/>
        <w:jc w:val="both"/>
        <w:rPr>
          <w:bCs/>
          <w:sz w:val="26"/>
          <w:szCs w:val="26"/>
        </w:rPr>
      </w:pPr>
      <w:r w:rsidRPr="00DB1B66">
        <w:rPr>
          <w:bCs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040A9" w:rsidRDefault="00F040A9" w:rsidP="00764A98">
      <w:pPr>
        <w:pStyle w:val="3"/>
        <w:suppressAutoHyphens w:val="0"/>
        <w:autoSpaceDE/>
        <w:adjustRightInd/>
        <w:ind w:firstLine="708"/>
        <w:jc w:val="both"/>
        <w:rPr>
          <w:b/>
          <w:sz w:val="26"/>
          <w:szCs w:val="26"/>
        </w:rPr>
      </w:pPr>
    </w:p>
    <w:p w:rsidR="008C473D" w:rsidRPr="006E2A46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DD363E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</w:t>
      </w:r>
      <w:r w:rsidR="00A832DD">
        <w:rPr>
          <w:sz w:val="26"/>
          <w:szCs w:val="26"/>
        </w:rPr>
        <w:t xml:space="preserve"> </w:t>
      </w:r>
      <w:r>
        <w:rPr>
          <w:sz w:val="26"/>
          <w:szCs w:val="26"/>
        </w:rPr>
        <w:t>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sectPr w:rsidR="00DD363E" w:rsidSect="00AE3155"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8E3"/>
    <w:multiLevelType w:val="multilevel"/>
    <w:tmpl w:val="7C1226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124C32D5"/>
    <w:multiLevelType w:val="multilevel"/>
    <w:tmpl w:val="A36CE0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42E501C4"/>
    <w:multiLevelType w:val="hybridMultilevel"/>
    <w:tmpl w:val="5D88AECE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">
    <w:nsid w:val="64F135FE"/>
    <w:multiLevelType w:val="hybridMultilevel"/>
    <w:tmpl w:val="2B2E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44E3"/>
    <w:multiLevelType w:val="multilevel"/>
    <w:tmpl w:val="74B6F96A"/>
    <w:lvl w:ilvl="0">
      <w:start w:val="1"/>
      <w:numFmt w:val="decimal"/>
      <w:lvlText w:val="%1."/>
      <w:lvlJc w:val="left"/>
      <w:pPr>
        <w:ind w:left="1876" w:hanging="360"/>
      </w:pPr>
    </w:lvl>
    <w:lvl w:ilvl="1">
      <w:start w:val="1"/>
      <w:numFmt w:val="decimal"/>
      <w:isLgl/>
      <w:lvlText w:val="%1.%2."/>
      <w:lvlJc w:val="left"/>
      <w:pPr>
        <w:ind w:left="2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1800"/>
      </w:pPr>
      <w:rPr>
        <w:rFonts w:hint="default"/>
      </w:rPr>
    </w:lvl>
  </w:abstractNum>
  <w:abstractNum w:abstractNumId="5">
    <w:nsid w:val="717B4250"/>
    <w:multiLevelType w:val="multilevel"/>
    <w:tmpl w:val="51AEDD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F4E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0B4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201D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4C29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C7915"/>
    <w:rsid w:val="008F005E"/>
    <w:rsid w:val="00902E9A"/>
    <w:rsid w:val="00904C3D"/>
    <w:rsid w:val="00912109"/>
    <w:rsid w:val="00912E01"/>
    <w:rsid w:val="0091643E"/>
    <w:rsid w:val="00932C8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832DD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7A51"/>
    <w:rsid w:val="00AE1C3B"/>
    <w:rsid w:val="00AE3155"/>
    <w:rsid w:val="00AE5ADD"/>
    <w:rsid w:val="00AE7B30"/>
    <w:rsid w:val="00AF5D4D"/>
    <w:rsid w:val="00B065AA"/>
    <w:rsid w:val="00B07704"/>
    <w:rsid w:val="00B1703A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17D6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475"/>
    <w:rsid w:val="00D62634"/>
    <w:rsid w:val="00D65DAE"/>
    <w:rsid w:val="00D77DB2"/>
    <w:rsid w:val="00D8023D"/>
    <w:rsid w:val="00DA7868"/>
    <w:rsid w:val="00DB142D"/>
    <w:rsid w:val="00DB1805"/>
    <w:rsid w:val="00DB1B6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3158E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A4B0B"/>
    <w:rsid w:val="00EA7DCB"/>
    <w:rsid w:val="00EB5D81"/>
    <w:rsid w:val="00EC4C5C"/>
    <w:rsid w:val="00EF7BD6"/>
    <w:rsid w:val="00F040A9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4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4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2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04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4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2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10</cp:revision>
  <cp:lastPrinted>2017-12-26T11:55:00Z</cp:lastPrinted>
  <dcterms:created xsi:type="dcterms:W3CDTF">2017-11-27T12:16:00Z</dcterms:created>
  <dcterms:modified xsi:type="dcterms:W3CDTF">2017-12-26T11:55:00Z</dcterms:modified>
</cp:coreProperties>
</file>