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26" w:rsidRPr="00052826" w:rsidRDefault="007F4211" w:rsidP="00F15EE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Предварительные м</w:t>
      </w:r>
      <w:r w:rsidR="00052826" w:rsidRPr="00052826">
        <w:rPr>
          <w:sz w:val="28"/>
          <w:szCs w:val="28"/>
        </w:rPr>
        <w:t>атериалы</w:t>
      </w:r>
    </w:p>
    <w:p w:rsidR="00052826" w:rsidRPr="00052826" w:rsidRDefault="00052826" w:rsidP="00F15EE9">
      <w:pPr>
        <w:jc w:val="center"/>
        <w:rPr>
          <w:sz w:val="28"/>
          <w:szCs w:val="28"/>
        </w:rPr>
      </w:pPr>
      <w:r w:rsidRPr="00052826">
        <w:rPr>
          <w:sz w:val="28"/>
          <w:szCs w:val="28"/>
        </w:rPr>
        <w:t>по оценке воздействи</w:t>
      </w:r>
      <w:bookmarkStart w:id="0" w:name="_GoBack"/>
      <w:bookmarkEnd w:id="0"/>
      <w:r w:rsidRPr="00052826">
        <w:rPr>
          <w:sz w:val="28"/>
          <w:szCs w:val="28"/>
        </w:rPr>
        <w:t>я на окружающую среду</w:t>
      </w:r>
    </w:p>
    <w:p w:rsidR="00052826" w:rsidRPr="00052826" w:rsidRDefault="00052826" w:rsidP="00F15EE9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052826">
        <w:rPr>
          <w:bCs/>
          <w:color w:val="000000"/>
          <w:sz w:val="28"/>
          <w:szCs w:val="28"/>
        </w:rPr>
        <w:t>добычи охотничьих ресурсов, устанавливаемых на предстоящий сезон охоты</w:t>
      </w:r>
      <w:r>
        <w:rPr>
          <w:bCs/>
          <w:color w:val="000000"/>
          <w:sz w:val="28"/>
          <w:szCs w:val="28"/>
        </w:rPr>
        <w:t xml:space="preserve"> </w:t>
      </w:r>
      <w:r w:rsidR="000D7A40">
        <w:rPr>
          <w:bCs/>
          <w:color w:val="000000"/>
          <w:sz w:val="28"/>
          <w:szCs w:val="28"/>
        </w:rPr>
        <w:t>2021-2022</w:t>
      </w:r>
      <w:r w:rsidR="00494475">
        <w:rPr>
          <w:bCs/>
          <w:color w:val="000000"/>
          <w:sz w:val="28"/>
          <w:szCs w:val="28"/>
        </w:rPr>
        <w:t xml:space="preserve"> годы</w:t>
      </w:r>
      <w:r w:rsidR="00DC125E">
        <w:rPr>
          <w:bCs/>
          <w:color w:val="000000"/>
          <w:sz w:val="28"/>
          <w:szCs w:val="28"/>
        </w:rPr>
        <w:t xml:space="preserve"> на территории Республики Коми</w:t>
      </w:r>
    </w:p>
    <w:p w:rsidR="00052826" w:rsidRPr="00052826" w:rsidRDefault="00052826" w:rsidP="00F15EE9">
      <w:pPr>
        <w:suppressAutoHyphens/>
        <w:ind w:firstLine="567"/>
        <w:jc w:val="both"/>
        <w:rPr>
          <w:b/>
          <w:sz w:val="28"/>
          <w:szCs w:val="28"/>
        </w:rPr>
      </w:pPr>
    </w:p>
    <w:p w:rsidR="00052826" w:rsidRPr="00052826" w:rsidRDefault="00052826" w:rsidP="00095CE2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Основанием для установления норм изъятия объектов животного мира служат данные об их численности, полученные с применением единых методик государственного учета, исполненные Управлением охраны и использования животного мира и охотничьих ресурсов </w:t>
      </w:r>
      <w:r w:rsidR="008D579E">
        <w:rPr>
          <w:sz w:val="28"/>
          <w:szCs w:val="28"/>
        </w:rPr>
        <w:t xml:space="preserve">(далее - </w:t>
      </w:r>
      <w:r w:rsidR="003B3E52">
        <w:rPr>
          <w:sz w:val="28"/>
          <w:szCs w:val="28"/>
        </w:rPr>
        <w:t>Управление</w:t>
      </w:r>
      <w:r w:rsidR="008D579E">
        <w:rPr>
          <w:sz w:val="28"/>
          <w:szCs w:val="28"/>
        </w:rPr>
        <w:t xml:space="preserve">) </w:t>
      </w:r>
      <w:r w:rsidRPr="00052826">
        <w:rPr>
          <w:sz w:val="28"/>
          <w:szCs w:val="28"/>
        </w:rPr>
        <w:t xml:space="preserve">Министерства </w:t>
      </w:r>
      <w:r w:rsidRPr="00052826">
        <w:rPr>
          <w:bCs/>
          <w:sz w:val="28"/>
          <w:szCs w:val="28"/>
        </w:rPr>
        <w:t>природных ресурсов и охраны о</w:t>
      </w:r>
      <w:r w:rsidR="008D579E">
        <w:rPr>
          <w:bCs/>
          <w:sz w:val="28"/>
          <w:szCs w:val="28"/>
        </w:rPr>
        <w:t>кружающей среды Республики Коми (далее - Министерство).</w:t>
      </w:r>
    </w:p>
    <w:p w:rsidR="00052826" w:rsidRPr="00052826" w:rsidRDefault="00052826" w:rsidP="00095CE2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определения численности охотничьих зверей и птиц в Республике Коми ежегодно в общедоступных охотничьих угодьях и на территориях, переданных в пользование юридическим лицам и индивидуальным предпринимателям, проводится</w:t>
      </w:r>
      <w:r w:rsidR="00152975">
        <w:rPr>
          <w:sz w:val="28"/>
          <w:szCs w:val="28"/>
        </w:rPr>
        <w:t xml:space="preserve"> зимний маршрутный учет (ЗМУ). </w:t>
      </w:r>
      <w:r w:rsidRPr="00052826">
        <w:rPr>
          <w:sz w:val="28"/>
          <w:szCs w:val="28"/>
        </w:rPr>
        <w:t xml:space="preserve">Для оценки воздействия на окружающую среду при освоении объемов (квот, лимитов) изъятия охотничьих ресурсов, </w:t>
      </w:r>
      <w:r w:rsidR="001F436B"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использованы материал</w:t>
      </w:r>
      <w:r w:rsidR="00D274BC">
        <w:rPr>
          <w:sz w:val="28"/>
          <w:szCs w:val="28"/>
        </w:rPr>
        <w:t>ы зимнего м</w:t>
      </w:r>
      <w:r w:rsidR="003B3E52">
        <w:rPr>
          <w:sz w:val="28"/>
          <w:szCs w:val="28"/>
        </w:rPr>
        <w:t>аршр</w:t>
      </w:r>
      <w:r w:rsidR="000D7A40">
        <w:rPr>
          <w:sz w:val="28"/>
          <w:szCs w:val="28"/>
        </w:rPr>
        <w:t>утного учета 2017-2021</w:t>
      </w:r>
      <w:r w:rsidRPr="00052826">
        <w:rPr>
          <w:sz w:val="28"/>
          <w:szCs w:val="28"/>
        </w:rPr>
        <w:t xml:space="preserve"> г.г., а также проведен анализ динамики численности охотничь</w:t>
      </w:r>
      <w:r w:rsidR="00D274BC">
        <w:rPr>
          <w:sz w:val="28"/>
          <w:szCs w:val="28"/>
        </w:rPr>
        <w:t>их ресурсов за последние 5 лет.</w:t>
      </w:r>
    </w:p>
    <w:p w:rsidR="003F5C72" w:rsidRPr="00052826" w:rsidRDefault="00052826" w:rsidP="00095CE2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Для расчета прироста популяций копытных и пушных зверей </w:t>
      </w:r>
      <w:r w:rsidR="00BD451E"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использованы материалы справочника «Нормирование использования ресурсов охотничьих животных» ГНУ Всероссийский научно-исследовательский институт охотничьег</w:t>
      </w:r>
      <w:r w:rsidR="0089438D">
        <w:rPr>
          <w:sz w:val="28"/>
          <w:szCs w:val="28"/>
        </w:rPr>
        <w:t>о хозяйства и звероводства им. п</w:t>
      </w:r>
      <w:r w:rsidRPr="00052826">
        <w:rPr>
          <w:sz w:val="28"/>
          <w:szCs w:val="28"/>
        </w:rPr>
        <w:t>роф. Б.М. Житкова РАСХН.</w:t>
      </w:r>
    </w:p>
    <w:p w:rsidR="0047749E" w:rsidRPr="0047749E" w:rsidRDefault="0047749E" w:rsidP="00095CE2">
      <w:pPr>
        <w:ind w:lef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47749E">
        <w:rPr>
          <w:rFonts w:eastAsiaTheme="minorHAnsi"/>
          <w:sz w:val="28"/>
          <w:szCs w:val="28"/>
          <w:lang w:eastAsia="en-US"/>
        </w:rPr>
        <w:t xml:space="preserve">С 1 января 2021 </w:t>
      </w:r>
      <w:r>
        <w:rPr>
          <w:rFonts w:eastAsiaTheme="minorHAnsi"/>
          <w:sz w:val="28"/>
          <w:szCs w:val="28"/>
          <w:lang w:eastAsia="en-US"/>
        </w:rPr>
        <w:t>вступил</w:t>
      </w:r>
      <w:r w:rsidRPr="0047749E">
        <w:rPr>
          <w:rFonts w:eastAsiaTheme="minorHAnsi"/>
          <w:sz w:val="28"/>
          <w:szCs w:val="28"/>
          <w:lang w:eastAsia="en-US"/>
        </w:rPr>
        <w:t xml:space="preserve"> в силу </w:t>
      </w:r>
      <w:r w:rsidR="00363A10">
        <w:rPr>
          <w:rFonts w:eastAsiaTheme="minorHAnsi"/>
          <w:sz w:val="28"/>
          <w:szCs w:val="28"/>
          <w:lang w:eastAsia="en-US"/>
        </w:rPr>
        <w:t>п</w:t>
      </w:r>
      <w:r w:rsidRPr="0047749E">
        <w:rPr>
          <w:rFonts w:eastAsiaTheme="minorHAnsi"/>
          <w:sz w:val="28"/>
          <w:szCs w:val="28"/>
          <w:lang w:eastAsia="en-US"/>
        </w:rPr>
        <w:t>риказ Министерства природных ресурсов и экологи</w:t>
      </w:r>
      <w:r w:rsidR="009D7812">
        <w:rPr>
          <w:rFonts w:eastAsiaTheme="minorHAnsi"/>
          <w:sz w:val="28"/>
          <w:szCs w:val="28"/>
          <w:lang w:eastAsia="en-US"/>
        </w:rPr>
        <w:t xml:space="preserve">и Российской Федерации от 25 ноября </w:t>
      </w:r>
      <w:r w:rsidRPr="0047749E">
        <w:rPr>
          <w:rFonts w:eastAsiaTheme="minorHAnsi"/>
          <w:sz w:val="28"/>
          <w:szCs w:val="28"/>
          <w:lang w:eastAsia="en-US"/>
        </w:rPr>
        <w:t>2020 № 965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E316BF" w:rsidRPr="00133F5E" w:rsidRDefault="00E316BF" w:rsidP="00095CE2">
      <w:pPr>
        <w:ind w:lef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E316BF">
        <w:rPr>
          <w:rFonts w:eastAsiaTheme="minorHAnsi"/>
          <w:sz w:val="28"/>
          <w:szCs w:val="28"/>
          <w:lang w:eastAsia="en-US"/>
        </w:rPr>
        <w:t>Указанный приказ разработан в соответствии с Федера</w:t>
      </w:r>
      <w:r w:rsidR="00133F5E">
        <w:rPr>
          <w:rFonts w:eastAsiaTheme="minorHAnsi"/>
          <w:sz w:val="28"/>
          <w:szCs w:val="28"/>
          <w:lang w:eastAsia="en-US"/>
        </w:rPr>
        <w:t>льным законом от 24 июля 2009</w:t>
      </w:r>
      <w:r w:rsidRPr="00E316BF">
        <w:rPr>
          <w:rFonts w:eastAsiaTheme="minorHAnsi"/>
          <w:sz w:val="28"/>
          <w:szCs w:val="28"/>
          <w:lang w:eastAsia="en-US"/>
        </w:rPr>
        <w:t xml:space="preserve"> № 209-ФЗ «Об охоте и о сохранении охотничьих ресурсов и о внесении изменений в отдельные законодательные акты Российской Федерации» и определяет процедуру подготовки, принятия документа об утверждении лимита добычи охотничьих ресурсов в субъекте Российской Федерации и внесения в него изменений.</w:t>
      </w:r>
    </w:p>
    <w:p w:rsidR="0047749E" w:rsidRPr="003F5C72" w:rsidRDefault="0047749E" w:rsidP="00095CE2">
      <w:pPr>
        <w:ind w:lef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3F5C7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новым приказом</w:t>
      </w:r>
      <w:r w:rsidRPr="003F5C72">
        <w:rPr>
          <w:rFonts w:eastAsiaTheme="minorHAnsi"/>
          <w:sz w:val="28"/>
          <w:szCs w:val="28"/>
          <w:lang w:eastAsia="en-US"/>
        </w:rPr>
        <w:t xml:space="preserve"> изменится норматив допустимого изъятия бурового медведя. Раньше он составлял от 3 до 15 процентов от численности, теперь он будет составлять до 30 процентов, что позволит увеличить выдачу разрешений на его добычу и удовлетворить большее число желающих добыть трофейного зверя.</w:t>
      </w:r>
    </w:p>
    <w:p w:rsidR="0047749E" w:rsidRPr="009135C7" w:rsidRDefault="0047749E" w:rsidP="00095CE2">
      <w:pPr>
        <w:ind w:lef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3F5C72">
        <w:rPr>
          <w:rFonts w:eastAsiaTheme="minorHAnsi"/>
          <w:sz w:val="28"/>
          <w:szCs w:val="28"/>
          <w:lang w:eastAsia="en-US"/>
        </w:rPr>
        <w:t>Так</w:t>
      </w:r>
      <w:r w:rsidR="00E95008">
        <w:rPr>
          <w:rFonts w:eastAsiaTheme="minorHAnsi"/>
          <w:sz w:val="28"/>
          <w:szCs w:val="28"/>
          <w:lang w:eastAsia="en-US"/>
        </w:rPr>
        <w:t xml:space="preserve"> </w:t>
      </w:r>
      <w:r w:rsidRPr="003F5C72">
        <w:rPr>
          <w:rFonts w:eastAsiaTheme="minorHAnsi"/>
          <w:sz w:val="28"/>
          <w:szCs w:val="28"/>
          <w:lang w:eastAsia="en-US"/>
        </w:rPr>
        <w:t>же меняется норматив допустимого изъятия взрослых самцов лося и лося в возрасте до 1 года. Если ранее норматив предусматривал добычу взрослых самцов лося не более 25 процентов от квоты, а лося в возрасте до 1 года до 20 процентов от квоты, то в новом приказе эти значения составляют не более 15 процентов и не менее 20 процентов от квоты соответственно</w:t>
      </w:r>
      <w:r w:rsidR="009135C7">
        <w:rPr>
          <w:rFonts w:eastAsiaTheme="minorHAnsi"/>
          <w:sz w:val="28"/>
          <w:szCs w:val="28"/>
          <w:lang w:eastAsia="en-US"/>
        </w:rPr>
        <w:t>.</w:t>
      </w:r>
    </w:p>
    <w:p w:rsidR="00052826" w:rsidRPr="00052826" w:rsidRDefault="00052826" w:rsidP="00095CE2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Согласно этому приказу лимиты и квоты добычи лося </w:t>
      </w:r>
      <w:r w:rsidR="00EF4BA8"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разделены на добычу взрослых и особе</w:t>
      </w:r>
      <w:r w:rsidR="009A1A3C">
        <w:rPr>
          <w:sz w:val="28"/>
          <w:szCs w:val="28"/>
        </w:rPr>
        <w:t xml:space="preserve">й до одного года. Такой подход </w:t>
      </w:r>
      <w:r w:rsidRPr="00052826">
        <w:rPr>
          <w:sz w:val="28"/>
          <w:szCs w:val="28"/>
        </w:rPr>
        <w:t xml:space="preserve">способствует сохранению репродуктивного ядра популяции лося - взрослых особей, а также </w:t>
      </w:r>
      <w:r w:rsidRPr="00052826">
        <w:rPr>
          <w:sz w:val="28"/>
          <w:szCs w:val="28"/>
        </w:rPr>
        <w:lastRenderedPageBreak/>
        <w:t>сохранению части сеголетков, которые в последующие годы составя</w:t>
      </w:r>
      <w:r w:rsidR="003B3E52">
        <w:rPr>
          <w:sz w:val="28"/>
          <w:szCs w:val="28"/>
        </w:rPr>
        <w:t>т основную часть репродуктивной</w:t>
      </w:r>
      <w:r w:rsidRPr="00052826">
        <w:rPr>
          <w:sz w:val="28"/>
          <w:szCs w:val="28"/>
        </w:rPr>
        <w:t xml:space="preserve"> популяции.</w:t>
      </w:r>
    </w:p>
    <w:p w:rsidR="00E17A80" w:rsidRPr="003F5C72" w:rsidRDefault="00E95008" w:rsidP="00095CE2">
      <w:pPr>
        <w:ind w:lef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свою очередь</w:t>
      </w:r>
      <w:r w:rsidR="00E17A80" w:rsidRPr="003F5C72">
        <w:rPr>
          <w:rFonts w:eastAsiaTheme="minorHAnsi"/>
          <w:sz w:val="28"/>
          <w:szCs w:val="28"/>
          <w:lang w:eastAsia="en-US"/>
        </w:rPr>
        <w:t xml:space="preserve"> с вступле</w:t>
      </w:r>
      <w:r w:rsidR="00554E7E">
        <w:rPr>
          <w:rFonts w:eastAsiaTheme="minorHAnsi"/>
          <w:sz w:val="28"/>
          <w:szCs w:val="28"/>
          <w:lang w:eastAsia="en-US"/>
        </w:rPr>
        <w:t>нием в силу с 1 января 2021</w:t>
      </w:r>
      <w:r w:rsidR="00E17A80" w:rsidRPr="003F5C72">
        <w:rPr>
          <w:rFonts w:eastAsiaTheme="minorHAnsi"/>
          <w:sz w:val="28"/>
          <w:szCs w:val="28"/>
          <w:lang w:eastAsia="en-US"/>
        </w:rPr>
        <w:t xml:space="preserve"> Приказа Министерства природных ресурсов и экологи</w:t>
      </w:r>
      <w:r w:rsidR="009D7812">
        <w:rPr>
          <w:rFonts w:eastAsiaTheme="minorHAnsi"/>
          <w:sz w:val="28"/>
          <w:szCs w:val="28"/>
          <w:lang w:eastAsia="en-US"/>
        </w:rPr>
        <w:t xml:space="preserve">и Российской Федерации от 27 ноября </w:t>
      </w:r>
      <w:r w:rsidR="00E17A80" w:rsidRPr="003F5C72">
        <w:rPr>
          <w:rFonts w:eastAsiaTheme="minorHAnsi"/>
          <w:sz w:val="28"/>
          <w:szCs w:val="28"/>
          <w:lang w:eastAsia="en-US"/>
        </w:rPr>
        <w:t>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 в закрепленных охотничьих угодьях охотпользователи самостоятельно определяют объемы изъятия охотничьих ресурсов в возрасте до одного года, а также взрослых особей (самцов во время гона, с неокостеневшими рогами, без подразделения по п</w:t>
      </w:r>
      <w:r w:rsidR="00C93CD1">
        <w:rPr>
          <w:rFonts w:eastAsiaTheme="minorHAnsi"/>
          <w:sz w:val="28"/>
          <w:szCs w:val="28"/>
          <w:lang w:eastAsia="en-US"/>
        </w:rPr>
        <w:t>оловому признаку</w:t>
      </w:r>
      <w:r w:rsidR="00E17A80" w:rsidRPr="003F5C72">
        <w:rPr>
          <w:rFonts w:eastAsiaTheme="minorHAnsi"/>
          <w:sz w:val="28"/>
          <w:szCs w:val="28"/>
          <w:lang w:eastAsia="en-US"/>
        </w:rPr>
        <w:t>) в пределах общей установленной квоты добычи каждого вида охотничьих ресурсов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после утверждения Главой Республики Коми лимита добычи охотничьих ресурсов и могут перераспределять их в течение срока охоты на каждый вид охотничьих ресурсов в соответствии с утвержденными нормативами допустимого изъятия охотничьих ресурсов в пределах срока действия утвержденного лимита добычи охотничьих ресурсов.</w:t>
      </w:r>
    </w:p>
    <w:p w:rsidR="00E17A80" w:rsidRPr="00E17A80" w:rsidRDefault="00E17A80" w:rsidP="00095CE2">
      <w:pPr>
        <w:ind w:lef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3F5C72">
        <w:rPr>
          <w:rFonts w:eastAsiaTheme="minorHAnsi"/>
          <w:sz w:val="28"/>
          <w:szCs w:val="28"/>
          <w:lang w:eastAsia="en-US"/>
        </w:rPr>
        <w:t>При исчислении лимита добычи охотничьих ресурсов учитываются их численность, размещение в среде обитания, динамика состояния и другие данные государственного мониторинга охотничьих ресурсов и среды их обитания.</w:t>
      </w:r>
    </w:p>
    <w:p w:rsidR="00363A10" w:rsidRDefault="00052826" w:rsidP="00363A10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Добыча охотничьих </w:t>
      </w:r>
      <w:r w:rsidR="00363A10">
        <w:rPr>
          <w:sz w:val="28"/>
          <w:szCs w:val="28"/>
        </w:rPr>
        <w:t>ресурсов</w:t>
      </w:r>
      <w:r w:rsidRPr="00052826">
        <w:rPr>
          <w:sz w:val="28"/>
          <w:szCs w:val="28"/>
        </w:rPr>
        <w:t xml:space="preserve"> определена </w:t>
      </w:r>
      <w:r w:rsidR="00E17A80">
        <w:rPr>
          <w:sz w:val="28"/>
          <w:szCs w:val="28"/>
        </w:rPr>
        <w:t>строго</w:t>
      </w:r>
      <w:r w:rsidRPr="00052826">
        <w:rPr>
          <w:sz w:val="28"/>
          <w:szCs w:val="28"/>
        </w:rPr>
        <w:t xml:space="preserve"> регламентированными сроками охоты, которые не превышают предельных, установленных Правилами охоты, утвержденными приказом Министерства природных ресурсов и экологии Российской Феде</w:t>
      </w:r>
      <w:r w:rsidR="00E17A80">
        <w:rPr>
          <w:sz w:val="28"/>
          <w:szCs w:val="28"/>
        </w:rPr>
        <w:t>рации от 24 июля 2020 № 477, вступившим в силу также с 1 января 2021 года.</w:t>
      </w:r>
    </w:p>
    <w:p w:rsidR="00052826" w:rsidRPr="00052826" w:rsidRDefault="00052826" w:rsidP="00363A10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Кроме того, для оценки воздействия на окружающую среду при освоении объемов (квот, лимитов) изъятия охотничьих ресурсов </w:t>
      </w:r>
      <w:r w:rsidR="00D91DA0">
        <w:rPr>
          <w:sz w:val="28"/>
          <w:szCs w:val="28"/>
        </w:rPr>
        <w:t>У</w:t>
      </w:r>
      <w:r w:rsidRPr="00052826">
        <w:rPr>
          <w:sz w:val="28"/>
          <w:szCs w:val="28"/>
        </w:rPr>
        <w:t xml:space="preserve">правлением </w:t>
      </w:r>
      <w:r w:rsidR="00363A10"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ан</w:t>
      </w:r>
      <w:r w:rsidR="00363A10">
        <w:rPr>
          <w:sz w:val="28"/>
          <w:szCs w:val="28"/>
        </w:rPr>
        <w:t>ализироваться</w:t>
      </w:r>
      <w:r w:rsidRPr="00052826">
        <w:rPr>
          <w:sz w:val="28"/>
          <w:szCs w:val="28"/>
        </w:rPr>
        <w:t xml:space="preserve"> ведомственные материалы фактического использования охотпользователями квот добычи лося, бурого медведя, выдры, соболя и рыси в </w:t>
      </w:r>
      <w:r w:rsidR="00363A10">
        <w:rPr>
          <w:sz w:val="28"/>
          <w:szCs w:val="28"/>
        </w:rPr>
        <w:t>предыдущие</w:t>
      </w:r>
      <w:r w:rsidRPr="00052826">
        <w:rPr>
          <w:sz w:val="28"/>
          <w:szCs w:val="28"/>
        </w:rPr>
        <w:t xml:space="preserve"> охотничьи сезоны.</w:t>
      </w:r>
    </w:p>
    <w:p w:rsidR="00052826" w:rsidRPr="00052826" w:rsidRDefault="00052826" w:rsidP="00095CE2">
      <w:pPr>
        <w:suppressAutoHyphens/>
        <w:kinsoku w:val="0"/>
        <w:overflowPunct w:val="0"/>
        <w:ind w:left="-284" w:firstLine="709"/>
        <w:jc w:val="both"/>
        <w:textAlignment w:val="baseline"/>
        <w:rPr>
          <w:sz w:val="28"/>
          <w:szCs w:val="28"/>
        </w:rPr>
      </w:pPr>
      <w:r w:rsidRPr="00052826">
        <w:rPr>
          <w:sz w:val="28"/>
          <w:szCs w:val="28"/>
        </w:rPr>
        <w:t>Зимний маршрутный учет численно</w:t>
      </w:r>
      <w:r w:rsidR="00347F04">
        <w:rPr>
          <w:sz w:val="28"/>
          <w:szCs w:val="28"/>
        </w:rPr>
        <w:t xml:space="preserve">сти охотничьих ресурсов </w:t>
      </w:r>
      <w:r w:rsidR="00363A10">
        <w:rPr>
          <w:sz w:val="28"/>
          <w:szCs w:val="28"/>
        </w:rPr>
        <w:t xml:space="preserve">в 2021 году </w:t>
      </w:r>
      <w:r w:rsidR="00347F04">
        <w:rPr>
          <w:sz w:val="28"/>
          <w:szCs w:val="28"/>
        </w:rPr>
        <w:t>проводится</w:t>
      </w:r>
      <w:r w:rsidRPr="00052826">
        <w:rPr>
          <w:sz w:val="28"/>
          <w:szCs w:val="28"/>
        </w:rPr>
        <w:t xml:space="preserve"> в соответствии с Методическими указаниями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утвержденного Министерством природных ресурсов и экологии Российской Федерации приказом от 11 января 2012 № 1, (далее - Методические указания) и в соответствии с приказом Министерства </w:t>
      </w:r>
      <w:r w:rsidR="00363A10">
        <w:rPr>
          <w:sz w:val="28"/>
          <w:szCs w:val="28"/>
        </w:rPr>
        <w:t>от 28 декабря 2020 г. № 2524</w:t>
      </w:r>
      <w:r w:rsidRPr="00052826">
        <w:rPr>
          <w:sz w:val="28"/>
          <w:szCs w:val="28"/>
        </w:rPr>
        <w:t>.</w:t>
      </w:r>
    </w:p>
    <w:p w:rsidR="009D5487" w:rsidRDefault="00052826" w:rsidP="00095CE2">
      <w:pPr>
        <w:suppressAutoHyphens/>
        <w:kinsoku w:val="0"/>
        <w:overflowPunct w:val="0"/>
        <w:ind w:left="-284" w:firstLine="709"/>
        <w:jc w:val="both"/>
        <w:textAlignment w:val="baseline"/>
        <w:rPr>
          <w:sz w:val="28"/>
          <w:szCs w:val="28"/>
        </w:rPr>
      </w:pPr>
      <w:r w:rsidRPr="00052826">
        <w:rPr>
          <w:sz w:val="28"/>
          <w:szCs w:val="28"/>
        </w:rPr>
        <w:t xml:space="preserve">Территория Республики Коми с учетом обитания охотничьих животных была поделена на 5 исследуемых территорий: </w:t>
      </w:r>
      <w:r w:rsidRPr="00323B87">
        <w:rPr>
          <w:sz w:val="28"/>
          <w:szCs w:val="28"/>
        </w:rPr>
        <w:t xml:space="preserve">северо-таежная зона и тундра (Интинский, Воркутинский, Усинский, Печорский, Ижемский, Усть-Цилемский районы), западная часть средней зоны (Удорский, Княжпогостский, Ухтинский </w:t>
      </w:r>
      <w:r w:rsidRPr="00323B87">
        <w:rPr>
          <w:sz w:val="28"/>
          <w:szCs w:val="28"/>
        </w:rPr>
        <w:lastRenderedPageBreak/>
        <w:t xml:space="preserve">районы), восточная часть средней зоны (Сосногорский, Вуктыльский, Троицко-Печорский районы), </w:t>
      </w:r>
      <w:r w:rsidR="0072776E" w:rsidRPr="00323B87">
        <w:rPr>
          <w:sz w:val="28"/>
          <w:szCs w:val="28"/>
        </w:rPr>
        <w:t>южная</w:t>
      </w:r>
      <w:r w:rsidRPr="00323B87">
        <w:rPr>
          <w:sz w:val="28"/>
          <w:szCs w:val="28"/>
        </w:rPr>
        <w:t xml:space="preserve"> часть </w:t>
      </w:r>
      <w:r w:rsidR="0072776E" w:rsidRPr="00323B87">
        <w:rPr>
          <w:sz w:val="28"/>
          <w:szCs w:val="28"/>
        </w:rPr>
        <w:t>средней</w:t>
      </w:r>
      <w:r w:rsidRPr="00323B87">
        <w:rPr>
          <w:sz w:val="28"/>
          <w:szCs w:val="28"/>
        </w:rPr>
        <w:t xml:space="preserve"> зоны (Усть-Куломский, Корткеросский, Сыктывдинский, Усть-Вымский районы и город Сыктывкар), южная зона (Прилузский, Сысольский, Койг</w:t>
      </w:r>
      <w:r w:rsidR="008A177C" w:rsidRPr="00323B87">
        <w:rPr>
          <w:sz w:val="28"/>
          <w:szCs w:val="28"/>
        </w:rPr>
        <w:t>ородский</w:t>
      </w:r>
      <w:r w:rsidR="008A177C">
        <w:rPr>
          <w:sz w:val="28"/>
          <w:szCs w:val="28"/>
        </w:rPr>
        <w:t xml:space="preserve"> районы). В зависимости</w:t>
      </w:r>
      <w:r w:rsidR="009A1A3C">
        <w:rPr>
          <w:sz w:val="28"/>
          <w:szCs w:val="28"/>
        </w:rPr>
        <w:t xml:space="preserve"> от площади </w:t>
      </w:r>
      <w:r w:rsidRPr="00052826">
        <w:rPr>
          <w:sz w:val="28"/>
          <w:szCs w:val="28"/>
        </w:rPr>
        <w:t>исследуемой территории была рассчитана плановая протяженность маршрутов отдельно для каждого охотничьего угодья.</w:t>
      </w:r>
    </w:p>
    <w:p w:rsidR="00052826" w:rsidRPr="00052826" w:rsidRDefault="00052826" w:rsidP="00095CE2">
      <w:pPr>
        <w:suppressAutoHyphens/>
        <w:kinsoku w:val="0"/>
        <w:overflowPunct w:val="0"/>
        <w:ind w:left="-284" w:firstLine="709"/>
        <w:jc w:val="both"/>
        <w:textAlignment w:val="baseline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>Общая площадь среды обитания (охотничьи угодья</w:t>
      </w:r>
      <w:r w:rsidR="00F41EF4">
        <w:rPr>
          <w:rFonts w:eastAsia="Calibri"/>
          <w:sz w:val="28"/>
          <w:szCs w:val="28"/>
          <w:lang w:eastAsia="en-US"/>
        </w:rPr>
        <w:t>) составляет 37836,96</w:t>
      </w:r>
      <w:r w:rsidR="00324CC9">
        <w:rPr>
          <w:rFonts w:eastAsia="Calibri"/>
          <w:sz w:val="28"/>
          <w:szCs w:val="28"/>
          <w:lang w:eastAsia="en-US"/>
        </w:rPr>
        <w:t xml:space="preserve"> тыс. га.</w:t>
      </w:r>
      <w:r w:rsidR="00AA530A" w:rsidRPr="00AA530A">
        <w:rPr>
          <w:rFonts w:eastAsia="Calibri"/>
          <w:sz w:val="28"/>
          <w:szCs w:val="28"/>
          <w:lang w:eastAsia="en-US"/>
        </w:rPr>
        <w:t xml:space="preserve"> </w:t>
      </w:r>
      <w:r w:rsidR="00AA530A">
        <w:rPr>
          <w:rFonts w:eastAsia="Calibri"/>
          <w:sz w:val="28"/>
          <w:szCs w:val="28"/>
          <w:lang w:eastAsia="en-US"/>
        </w:rPr>
        <w:t>Изменение площадных данных обусловлено образованием ООПТ федерального значения (национальный парк «Койгородский»)</w:t>
      </w:r>
      <w:r w:rsidR="00851126">
        <w:rPr>
          <w:rFonts w:eastAsia="Calibri"/>
          <w:sz w:val="28"/>
          <w:szCs w:val="28"/>
          <w:lang w:eastAsia="en-US"/>
        </w:rPr>
        <w:t>, площадью 56,87</w:t>
      </w:r>
      <w:r w:rsidR="00AA530A">
        <w:rPr>
          <w:rFonts w:eastAsia="Calibri"/>
          <w:sz w:val="28"/>
          <w:szCs w:val="28"/>
          <w:lang w:eastAsia="en-US"/>
        </w:rPr>
        <w:t xml:space="preserve"> тыс. га.</w:t>
      </w:r>
    </w:p>
    <w:p w:rsidR="00052826" w:rsidRPr="00052826" w:rsidRDefault="00052826" w:rsidP="00095CE2">
      <w:pPr>
        <w:tabs>
          <w:tab w:val="left" w:pos="1320"/>
        </w:tabs>
        <w:suppressAutoHyphens/>
        <w:ind w:left="-284" w:firstLine="709"/>
        <w:jc w:val="both"/>
        <w:rPr>
          <w:rFonts w:eastAsia="+mn-ea"/>
          <w:color w:val="000000"/>
          <w:sz w:val="28"/>
          <w:szCs w:val="28"/>
        </w:rPr>
      </w:pPr>
      <w:r w:rsidRPr="00052826">
        <w:rPr>
          <w:rFonts w:eastAsia="+mn-ea"/>
          <w:color w:val="000000"/>
          <w:sz w:val="28"/>
          <w:szCs w:val="28"/>
        </w:rPr>
        <w:t>Равномерность размещения маршрутов в Республике Коми, где 50 % муниципальных образований имеют площадь более 2 млн. га очень сильно зависит от доступности, наличия дорог, в основ</w:t>
      </w:r>
      <w:r w:rsidR="006E6A52">
        <w:rPr>
          <w:rFonts w:eastAsia="+mn-ea"/>
          <w:color w:val="000000"/>
          <w:sz w:val="28"/>
          <w:szCs w:val="28"/>
        </w:rPr>
        <w:t>ном лесохозяйственных зимников.</w:t>
      </w:r>
    </w:p>
    <w:p w:rsidR="00052826" w:rsidRPr="00783E69" w:rsidRDefault="00052826" w:rsidP="00095CE2">
      <w:pPr>
        <w:tabs>
          <w:tab w:val="left" w:pos="1320"/>
        </w:tabs>
        <w:suppressAutoHyphens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rFonts w:eastAsia="Calibri"/>
          <w:sz w:val="28"/>
          <w:szCs w:val="28"/>
          <w:lang w:eastAsia="en-US"/>
        </w:rPr>
        <w:t xml:space="preserve">Пересчетные коэффициенты для птиц </w:t>
      </w:r>
      <w:r w:rsidR="00783E69">
        <w:rPr>
          <w:rFonts w:eastAsia="Calibri"/>
          <w:sz w:val="28"/>
          <w:szCs w:val="28"/>
          <w:lang w:eastAsia="en-US"/>
        </w:rPr>
        <w:t>будут рассчитаны в компьютерной</w:t>
      </w:r>
      <w:r w:rsidRPr="00052826">
        <w:rPr>
          <w:rFonts w:eastAsia="Calibri"/>
          <w:sz w:val="28"/>
          <w:szCs w:val="28"/>
          <w:lang w:eastAsia="en-US"/>
        </w:rPr>
        <w:t xml:space="preserve"> программе «Информационная система ведения государственного мониторинга и государственного кадастра объектов животного мира, отнесенных к объектам охоты на территории Республики Коми», написанной в соответствии с алгоритмами Методических указаний.</w:t>
      </w:r>
    </w:p>
    <w:p w:rsidR="009D6398" w:rsidRDefault="00052826" w:rsidP="009D6398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>Лимит добычи охотничьих ресурсов, рассчитывается от фактической численности, полученной только по представленным материалам зимнего маршрутного учета.</w:t>
      </w:r>
    </w:p>
    <w:p w:rsidR="009D6398" w:rsidRDefault="009D6398" w:rsidP="009D6398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условий обитания</w:t>
      </w:r>
      <w:r w:rsidRPr="00052826">
        <w:rPr>
          <w:sz w:val="28"/>
          <w:szCs w:val="28"/>
        </w:rPr>
        <w:t xml:space="preserve"> охотничьих ресурсов является важным этапом для подготовки обоснования объемов (лимитов, квот) их добычи. Поэтому важно охарактеризовать природные условия обитания охотничьих животных в предыдущем году. Краткая характеристика погодных условий основана на результатах наблюдений Центра</w:t>
      </w:r>
      <w:r>
        <w:rPr>
          <w:sz w:val="28"/>
          <w:szCs w:val="28"/>
        </w:rPr>
        <w:t xml:space="preserve"> по</w:t>
      </w:r>
      <w:r w:rsidRPr="00052826">
        <w:rPr>
          <w:sz w:val="28"/>
          <w:szCs w:val="28"/>
        </w:rPr>
        <w:t xml:space="preserve"> гидрометеорологии </w:t>
      </w:r>
      <w:r>
        <w:rPr>
          <w:sz w:val="28"/>
          <w:szCs w:val="28"/>
        </w:rPr>
        <w:t xml:space="preserve">и мониторингу окружающей среды </w:t>
      </w:r>
      <w:r w:rsidRPr="00052826">
        <w:rPr>
          <w:sz w:val="28"/>
          <w:szCs w:val="28"/>
        </w:rPr>
        <w:t>Республики Коми.</w:t>
      </w:r>
    </w:p>
    <w:p w:rsidR="009D6398" w:rsidRPr="00D13D8E" w:rsidRDefault="009D6398" w:rsidP="009D6398">
      <w:pPr>
        <w:pStyle w:val="a5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13D8E">
        <w:rPr>
          <w:rFonts w:ascii="Times New Roman" w:hAnsi="Times New Roman"/>
          <w:sz w:val="28"/>
          <w:szCs w:val="28"/>
        </w:rPr>
        <w:t>собенностями 2020 года стали продолжительный период теплой погоды с избытком осадков в зимний период, и жаркий июль с высокими температурами.</w:t>
      </w:r>
    </w:p>
    <w:p w:rsidR="009D6398" w:rsidRDefault="009D6398" w:rsidP="009D6398">
      <w:pPr>
        <w:pStyle w:val="a5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13D8E">
        <w:rPr>
          <w:rFonts w:ascii="Times New Roman" w:hAnsi="Times New Roman"/>
          <w:sz w:val="28"/>
          <w:szCs w:val="28"/>
        </w:rPr>
        <w:t>Среднегодовая температура воздуха распределялась от +3,5°С на крайнем юго-западе до -1,2°С на крайнем северо-востоке. Аномалия среднегодовой температуры воздуха, осредненной по территории, составила +3,4°С, чт</w:t>
      </w:r>
      <w:r w:rsidR="009A1A3C">
        <w:rPr>
          <w:rFonts w:ascii="Times New Roman" w:hAnsi="Times New Roman"/>
          <w:sz w:val="28"/>
          <w:szCs w:val="28"/>
        </w:rPr>
        <w:t>о на 2°С выше предыдущего года.</w:t>
      </w:r>
    </w:p>
    <w:p w:rsidR="009D6398" w:rsidRPr="009C30D3" w:rsidRDefault="009D6398" w:rsidP="009D6398">
      <w:pPr>
        <w:widowControl w:val="0"/>
        <w:suppressAutoHyphens/>
        <w:ind w:left="-284" w:firstLine="709"/>
        <w:jc w:val="both"/>
        <w:rPr>
          <w:bCs/>
          <w:i/>
          <w:sz w:val="26"/>
          <w:szCs w:val="26"/>
        </w:rPr>
      </w:pPr>
      <w:r w:rsidRPr="00D13D8E">
        <w:rPr>
          <w:sz w:val="28"/>
          <w:szCs w:val="28"/>
          <w:lang w:eastAsia="ar-SA"/>
        </w:rPr>
        <w:t>Наибольшее годовое количество осадков (777 мм или 145% от годовой нормы) зафиксировано</w:t>
      </w:r>
      <w:r w:rsidRPr="00D13D8E">
        <w:rPr>
          <w:b/>
          <w:bCs/>
          <w:sz w:val="28"/>
          <w:szCs w:val="28"/>
          <w:lang w:eastAsia="ar-SA"/>
        </w:rPr>
        <w:t xml:space="preserve"> </w:t>
      </w:r>
      <w:r w:rsidRPr="00D13D8E">
        <w:rPr>
          <w:sz w:val="28"/>
          <w:szCs w:val="28"/>
          <w:lang w:eastAsia="ar-SA"/>
        </w:rPr>
        <w:t>на территории Воркутинского района. Меньше всего осадков зафиксировано в Троицко-Печорском районе, 445 мм или 79% от годовой нормы</w:t>
      </w:r>
      <w:r>
        <w:rPr>
          <w:sz w:val="28"/>
          <w:szCs w:val="28"/>
          <w:lang w:eastAsia="ar-SA"/>
        </w:rPr>
        <w:t>. На большей части территории -</w:t>
      </w:r>
      <w:r w:rsidRPr="00D13D8E">
        <w:rPr>
          <w:sz w:val="28"/>
          <w:szCs w:val="28"/>
          <w:lang w:eastAsia="ar-SA"/>
        </w:rPr>
        <w:t xml:space="preserve"> 481- 682 мм</w:t>
      </w:r>
      <w:r>
        <w:rPr>
          <w:sz w:val="28"/>
          <w:szCs w:val="28"/>
          <w:lang w:eastAsia="ar-SA"/>
        </w:rPr>
        <w:t>,</w:t>
      </w:r>
      <w:r w:rsidRPr="00D13D8E"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  <w:lang w:eastAsia="ar-SA"/>
        </w:rPr>
        <w:t xml:space="preserve"> пределах многолетних значений.</w:t>
      </w:r>
    </w:p>
    <w:p w:rsidR="009D6398" w:rsidRPr="00686E96" w:rsidRDefault="009D6398" w:rsidP="009D6398">
      <w:pPr>
        <w:ind w:left="-284" w:firstLine="710"/>
        <w:jc w:val="both"/>
        <w:rPr>
          <w:sz w:val="28"/>
          <w:szCs w:val="28"/>
        </w:rPr>
      </w:pPr>
      <w:r w:rsidRPr="00686E96">
        <w:rPr>
          <w:sz w:val="28"/>
          <w:szCs w:val="28"/>
        </w:rPr>
        <w:t>Продолжительность зимнего периода в северных районах была в среднем 180 дней, что на 1 неделю меньше нормы, и 163-169 дней на остальной территории, что на 1-2 недели меньше нормы.</w:t>
      </w:r>
    </w:p>
    <w:p w:rsidR="009D6398" w:rsidRPr="00686E96" w:rsidRDefault="009D6398" w:rsidP="009D6398">
      <w:pPr>
        <w:ind w:left="-284" w:firstLine="710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 xml:space="preserve">Снежный покров в северных районах установился 19-22 октября 2019 года, </w:t>
      </w:r>
      <w:r>
        <w:rPr>
          <w:sz w:val="28"/>
          <w:szCs w:val="28"/>
          <w:lang w:eastAsia="ar-SA"/>
        </w:rPr>
        <w:t>в</w:t>
      </w:r>
      <w:r w:rsidRPr="00686E96">
        <w:rPr>
          <w:sz w:val="28"/>
          <w:szCs w:val="28"/>
          <w:lang w:eastAsia="ar-SA"/>
        </w:rPr>
        <w:t xml:space="preserve"> южных районах - 28-31 октября, что близко к норме.</w:t>
      </w:r>
      <w:r w:rsidRPr="00686E9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 xml:space="preserve"> </w:t>
      </w:r>
    </w:p>
    <w:p w:rsidR="009D6398" w:rsidRPr="00656647" w:rsidRDefault="009D6398" w:rsidP="009D6398">
      <w:pPr>
        <w:pStyle w:val="a5"/>
        <w:spacing w:after="0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4607">
        <w:rPr>
          <w:rFonts w:ascii="Times New Roman" w:hAnsi="Times New Roman"/>
          <w:sz w:val="28"/>
          <w:szCs w:val="28"/>
        </w:rPr>
        <w:t xml:space="preserve">Особенностью зимнего периода было то, что под влиянием активных </w:t>
      </w:r>
      <w:r w:rsidRPr="00664607">
        <w:rPr>
          <w:rFonts w:ascii="Times New Roman" w:hAnsi="Times New Roman"/>
          <w:sz w:val="28"/>
          <w:szCs w:val="28"/>
        </w:rPr>
        <w:lastRenderedPageBreak/>
        <w:t xml:space="preserve">циклонов преобладала теплая погода с частыми снегопадами, в отдельные дни сильными; на крайнем северо-востоке с частым усилением ветра порывами 15 м/с и более, метелями. </w:t>
      </w:r>
      <w:r w:rsidRPr="00664607">
        <w:rPr>
          <w:rFonts w:ascii="Times New Roman" w:eastAsia="Times New Roman" w:hAnsi="Times New Roman"/>
          <w:sz w:val="28"/>
          <w:szCs w:val="28"/>
          <w:lang w:eastAsia="ar-SA"/>
        </w:rPr>
        <w:t>В зимний период наблюдался избыток осадков, в основном норма превышена в 1,5 раза, местами - в 2-2,3</w:t>
      </w:r>
      <w:r w:rsidRPr="00656647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  <w:r w:rsidRPr="00656647">
        <w:rPr>
          <w:rFonts w:ascii="Times New Roman" w:hAnsi="Times New Roman"/>
          <w:sz w:val="28"/>
          <w:szCs w:val="28"/>
        </w:rPr>
        <w:t>Морозный период отмечался в каждом месяце, но только в январе был самым продолжительным, 5-6 дней.</w:t>
      </w:r>
    </w:p>
    <w:p w:rsidR="009D6398" w:rsidRDefault="009D6398" w:rsidP="009D6398">
      <w:pPr>
        <w:pStyle w:val="a5"/>
        <w:spacing w:after="0"/>
        <w:ind w:left="-284" w:firstLine="710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686E96">
        <w:rPr>
          <w:rFonts w:ascii="Times New Roman" w:eastAsia="Times New Roman" w:hAnsi="Times New Roman"/>
          <w:sz w:val="28"/>
          <w:szCs w:val="28"/>
          <w:lang w:eastAsia="ar-SA"/>
        </w:rPr>
        <w:t>В январе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феврале</w:t>
      </w:r>
      <w:r w:rsidRPr="00686E96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средняя температура воздуха оказалась вы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ше климатической нормы на 5...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10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°С. Кратковременное похолодание отмечалось в северо-западных и центральных районах в последние дни второй декады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января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. </w:t>
      </w:r>
    </w:p>
    <w:p w:rsidR="009D6398" w:rsidRPr="00686E96" w:rsidRDefault="009D6398" w:rsidP="009D6398">
      <w:pPr>
        <w:pStyle w:val="a5"/>
        <w:spacing w:after="0"/>
        <w:ind w:left="-284" w:firstLine="710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В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марте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месяце 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удерживалась высокая положительная аномалия средней температуры: в южных районах 6.</w:t>
      </w:r>
      <w:r w:rsidR="00323B87">
        <w:rPr>
          <w:rFonts w:ascii="Times New Roman" w:eastAsia="Times New Roman" w:hAnsi="Times New Roman" w:cs="Lucida Sans Unicode"/>
          <w:sz w:val="28"/>
          <w:szCs w:val="28"/>
          <w:lang w:eastAsia="ar-SA"/>
        </w:rPr>
        <w:t>..7°С, в северных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9...11°С.</w:t>
      </w:r>
    </w:p>
    <w:p w:rsidR="009D6398" w:rsidRPr="00686E96" w:rsidRDefault="009D6398" w:rsidP="009D6398">
      <w:pPr>
        <w:pStyle w:val="a5"/>
        <w:spacing w:after="0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686E96">
        <w:rPr>
          <w:rFonts w:ascii="Times New Roman" w:hAnsi="Times New Roman"/>
          <w:sz w:val="28"/>
          <w:szCs w:val="28"/>
        </w:rPr>
        <w:t xml:space="preserve">Снегонакопление в лесу происходило интенсивно. </w:t>
      </w:r>
      <w:r>
        <w:rPr>
          <w:rFonts w:ascii="Times New Roman" w:hAnsi="Times New Roman"/>
          <w:sz w:val="28"/>
          <w:szCs w:val="28"/>
        </w:rPr>
        <w:t>О</w:t>
      </w:r>
      <w:r w:rsidRPr="00686E96">
        <w:rPr>
          <w:rFonts w:ascii="Times New Roman" w:hAnsi="Times New Roman"/>
          <w:sz w:val="28"/>
          <w:szCs w:val="28"/>
        </w:rPr>
        <w:t>ттепели и жидкие осадки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E96">
        <w:rPr>
          <w:rFonts w:ascii="Times New Roman" w:hAnsi="Times New Roman"/>
          <w:sz w:val="28"/>
          <w:szCs w:val="28"/>
        </w:rPr>
        <w:t xml:space="preserve">понижали высоту снежного покрова. Максимальной высоты снежный покров достиг в первой декаде марта - 60-89 см, что в среднем на 3-5 см выше нормы. На северо-востоке - 91 см, что выше нормы на 10 см. На крайнем северо-востоке максимальная высота снежного покрова составила 116 см, что на 42 см выше нормы. </w:t>
      </w:r>
    </w:p>
    <w:p w:rsidR="009D6398" w:rsidRPr="00686E96" w:rsidRDefault="009D6398" w:rsidP="009D6398">
      <w:pPr>
        <w:pStyle w:val="a5"/>
        <w:spacing w:after="0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686E96">
        <w:rPr>
          <w:rFonts w:ascii="Times New Roman" w:hAnsi="Times New Roman"/>
          <w:sz w:val="28"/>
          <w:szCs w:val="28"/>
        </w:rPr>
        <w:t>Разрушение устойчивого снежного покрова в лесу произошло в период с 5 по 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686E96">
        <w:rPr>
          <w:rFonts w:ascii="Times New Roman" w:hAnsi="Times New Roman"/>
          <w:sz w:val="28"/>
          <w:szCs w:val="28"/>
        </w:rPr>
        <w:t>мая, что на 7-11 дней позднее в южных районах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6E96">
        <w:rPr>
          <w:rFonts w:ascii="Times New Roman" w:hAnsi="Times New Roman"/>
          <w:sz w:val="28"/>
          <w:szCs w:val="28"/>
        </w:rPr>
        <w:t>для крайних северо-восточных районов на 10-15 дней раньше</w:t>
      </w:r>
      <w:r>
        <w:rPr>
          <w:rFonts w:ascii="Times New Roman" w:hAnsi="Times New Roman"/>
          <w:sz w:val="28"/>
          <w:szCs w:val="28"/>
        </w:rPr>
        <w:t xml:space="preserve"> обычных дат</w:t>
      </w:r>
      <w:r w:rsidRPr="00686E96">
        <w:rPr>
          <w:rFonts w:ascii="Times New Roman" w:hAnsi="Times New Roman"/>
          <w:sz w:val="28"/>
          <w:szCs w:val="28"/>
        </w:rPr>
        <w:t xml:space="preserve">. </w:t>
      </w:r>
    </w:p>
    <w:p w:rsidR="009D6398" w:rsidRPr="00686E96" w:rsidRDefault="009D6398" w:rsidP="009D6398">
      <w:pPr>
        <w:pStyle w:val="a5"/>
        <w:spacing w:after="0"/>
        <w:ind w:left="-284" w:firstLine="710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686E96">
        <w:rPr>
          <w:rFonts w:ascii="Times New Roman" w:hAnsi="Times New Roman"/>
          <w:sz w:val="28"/>
          <w:szCs w:val="28"/>
        </w:rPr>
        <w:t xml:space="preserve">Продолжительность залегания снежного покрова в лесу в южных районах была 173-189 дней, в северных районах </w:t>
      </w:r>
      <w:r>
        <w:rPr>
          <w:rFonts w:ascii="Times New Roman" w:hAnsi="Times New Roman"/>
          <w:sz w:val="28"/>
          <w:szCs w:val="28"/>
        </w:rPr>
        <w:t>- 190-199 дней.</w:t>
      </w:r>
    </w:p>
    <w:p w:rsidR="009D6398" w:rsidRDefault="009D6398" w:rsidP="009D6398">
      <w:pPr>
        <w:ind w:left="-284" w:firstLine="710"/>
        <w:jc w:val="both"/>
        <w:rPr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>Весна 2020 года с устойчивым переходом среднесуточной температуры воздуха к положительным значениям (коне</w:t>
      </w:r>
      <w:r>
        <w:rPr>
          <w:sz w:val="28"/>
          <w:szCs w:val="28"/>
          <w:lang w:eastAsia="ar-SA"/>
        </w:rPr>
        <w:t>ц зимы) пришла раньше обычного.</w:t>
      </w:r>
    </w:p>
    <w:p w:rsidR="009D6398" w:rsidRPr="00686E96" w:rsidRDefault="009D6398" w:rsidP="009D6398">
      <w:pPr>
        <w:ind w:left="-284" w:firstLine="710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</w:pP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 xml:space="preserve">Ледоход на реках начался от 1 до </w:t>
      </w:r>
      <w:r w:rsidRPr="00686E9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>14 дней раньше обычных сроков.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 xml:space="preserve"> </w:t>
      </w:r>
      <w:r w:rsidRPr="00686E9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>Ледоход проходил на уровнях, превышающи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 xml:space="preserve">х обычные значения на 68-180 см. </w:t>
      </w:r>
      <w:r w:rsidRPr="00686E9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>Максимальные уровни воды весеннего половодья повсеместно сформировались на чистой воде.</w:t>
      </w:r>
    </w:p>
    <w:p w:rsidR="009D6398" w:rsidRPr="00686E96" w:rsidRDefault="009D6398" w:rsidP="009D6398">
      <w:pPr>
        <w:ind w:left="-284" w:firstLine="710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</w:pPr>
      <w:r w:rsidRPr="00686E9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>По ряду водомерных постов (25) максимальные уровни воды весеннего половодья были близки, достигли и превысили критерии неблагоприятных отметок, при которых происходит подтопление населенных пунктов и объектов экономики.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 xml:space="preserve"> </w:t>
      </w:r>
      <w:r w:rsidRPr="00686E9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>По ряду водпостов (15) максимальные уровни воды весеннего половодья в 2020 году превысили исторические максимумы.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 xml:space="preserve"> </w:t>
      </w:r>
      <w:r w:rsidRPr="00686E9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eastAsia="Lucida Sans Unicode" w:cs="Lucida Sans Unicode"/>
          <w:sz w:val="28"/>
          <w:szCs w:val="28"/>
          <w:lang w:eastAsia="ar-SA"/>
        </w:rPr>
        <w:t>По большинству водпостов вода выходила на пойму.</w:t>
      </w:r>
    </w:p>
    <w:p w:rsidR="009D6398" w:rsidRPr="00686E96" w:rsidRDefault="009D6398" w:rsidP="009D6398">
      <w:pPr>
        <w:ind w:left="-284" w:firstLine="710"/>
        <w:jc w:val="both"/>
        <w:rPr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 xml:space="preserve">Раньше обычных сроков началось и метеорологическое лето: в крайних южных 4 мая, что на 20-22 дня раньше обычного. В центральных районах - 10 мая, что в среднем на 27 дней раньше. В северных районах устойчивый переход среднесуточной температуры через +10°С в сторону повышения произошел 3-4 июня, что раньше обычного на 13-15 дней, для крайних северо-восточных районов - на 19-27 дней. </w:t>
      </w:r>
    </w:p>
    <w:p w:rsidR="009D6398" w:rsidRPr="00686E96" w:rsidRDefault="009D6398" w:rsidP="009D6398">
      <w:pPr>
        <w:ind w:left="-284" w:firstLine="710"/>
        <w:jc w:val="both"/>
        <w:rPr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 xml:space="preserve">В южных и центральных районах весна была короткой, её продолжительность составила 20-30 дней, что на 1-3 недели меньше нормы, в северных районах около 50 дней, что на 2-11 дней больше нормы. </w:t>
      </w:r>
    </w:p>
    <w:p w:rsidR="009D6398" w:rsidRPr="00686E96" w:rsidRDefault="009D6398" w:rsidP="009D6398">
      <w:pPr>
        <w:ind w:left="-284" w:firstLine="710"/>
        <w:jc w:val="both"/>
        <w:rPr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>В апреле</w:t>
      </w:r>
      <w:r>
        <w:rPr>
          <w:sz w:val="28"/>
          <w:szCs w:val="28"/>
          <w:lang w:eastAsia="ar-SA"/>
        </w:rPr>
        <w:t xml:space="preserve"> </w:t>
      </w:r>
      <w:r w:rsidRPr="00686E96">
        <w:rPr>
          <w:sz w:val="28"/>
          <w:szCs w:val="28"/>
          <w:lang w:eastAsia="ar-SA"/>
        </w:rPr>
        <w:t xml:space="preserve">средняя температура воздуха в южных районах была в пределах климатической нормы, в северных районах выше нормы на 2...3°С, в крайних </w:t>
      </w:r>
      <w:r w:rsidRPr="00686E96">
        <w:rPr>
          <w:sz w:val="28"/>
          <w:szCs w:val="28"/>
          <w:lang w:eastAsia="ar-SA"/>
        </w:rPr>
        <w:lastRenderedPageBreak/>
        <w:t xml:space="preserve">северо-восточных районах - на 4...6°С. Май для большей части территории оказался теплее обычного на 2...4°С, для крайнего северо-востока - на 6°С. </w:t>
      </w:r>
    </w:p>
    <w:p w:rsidR="009D6398" w:rsidRPr="008F02AB" w:rsidRDefault="009D6398" w:rsidP="009D6398">
      <w:pPr>
        <w:ind w:left="-284" w:firstLine="710"/>
        <w:jc w:val="both"/>
        <w:rPr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>Распределение осадков было неравномерное. Наибольшее количество осадков отмечено на крайнем северо-востоке, в среднем по 1,5 месячной нормы. На большей части территории в апреле и мае осадков в каждом месяце выпало в пределах нормы.</w:t>
      </w:r>
    </w:p>
    <w:p w:rsidR="009D6398" w:rsidRPr="00686E96" w:rsidRDefault="009D6398" w:rsidP="009D6398">
      <w:pPr>
        <w:ind w:left="-284" w:firstLine="710"/>
        <w:jc w:val="both"/>
        <w:rPr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 xml:space="preserve">Продолжительность летнего сезона составила 100-108 дней в северных и центральных районах и 128-132 дня - в южных, что на 21-41 день больше нормы. </w:t>
      </w:r>
    </w:p>
    <w:p w:rsidR="009D6398" w:rsidRPr="00686E96" w:rsidRDefault="009D6398" w:rsidP="009D6398">
      <w:pPr>
        <w:ind w:left="-284" w:firstLine="710"/>
        <w:jc w:val="both"/>
        <w:rPr>
          <w:rFonts w:cs="Lucida Sans Unicode"/>
          <w:sz w:val="28"/>
          <w:szCs w:val="28"/>
          <w:lang w:eastAsia="ar-SA"/>
        </w:rPr>
      </w:pPr>
      <w:r w:rsidRPr="00686E96">
        <w:rPr>
          <w:rFonts w:cs="Lucida Sans Unicode"/>
          <w:sz w:val="28"/>
          <w:szCs w:val="28"/>
          <w:lang w:eastAsia="ar-SA"/>
        </w:rPr>
        <w:t>Июнь</w:t>
      </w:r>
      <w:r w:rsidRPr="00686E96">
        <w:rPr>
          <w:rFonts w:cs="Lucida Sans Unicode"/>
          <w:b/>
          <w:bCs/>
          <w:sz w:val="28"/>
          <w:szCs w:val="28"/>
          <w:lang w:eastAsia="ar-SA"/>
        </w:rPr>
        <w:t xml:space="preserve"> </w:t>
      </w:r>
      <w:r w:rsidRPr="00686E96">
        <w:rPr>
          <w:rFonts w:cs="Lucida Sans Unicode"/>
          <w:sz w:val="28"/>
          <w:szCs w:val="28"/>
          <w:lang w:eastAsia="ar-SA"/>
        </w:rPr>
        <w:t xml:space="preserve">в первой половине месяца характеризовался теплой и аномально жаркой погодой, во второй - устойчиво холодной погодой. </w:t>
      </w:r>
      <w:r w:rsidRPr="00686E96">
        <w:rPr>
          <w:sz w:val="28"/>
          <w:szCs w:val="28"/>
          <w:lang w:eastAsia="ar-SA"/>
        </w:rPr>
        <w:t xml:space="preserve">В целом средняя температура воздуха </w:t>
      </w:r>
      <w:r w:rsidRPr="00686E96">
        <w:rPr>
          <w:rFonts w:cs="Lucida Sans Unicode"/>
          <w:sz w:val="28"/>
          <w:szCs w:val="28"/>
          <w:lang w:eastAsia="ar-SA"/>
        </w:rPr>
        <w:t xml:space="preserve">для   большинства районов была на 1°С ниже климатической нормы. Заметное похолодание произошло 16-17 июня. В заключительные 10 дней июня   наблюдалась устойчиво холодная погода, территория республики находилась в тыловой части циклона с центром за Уралом.  Дневной прогрев составлял в основном 9...15°С, только на крайнем юге и на крайнем юго-западе в отдельные дни достигал 17...20°С. </w:t>
      </w:r>
    </w:p>
    <w:p w:rsidR="009D6398" w:rsidRPr="00686E96" w:rsidRDefault="009D6398" w:rsidP="009D6398">
      <w:pPr>
        <w:ind w:left="-284" w:firstLine="710"/>
        <w:jc w:val="both"/>
        <w:rPr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 xml:space="preserve">Июль оказался зеркальным отображением прошлогоднего -  жарким и сухим. Погодные условия формировались под влиянием повышенного фона атмосферного давления, связанного с обширным антициклоном над Европой и антициклоном над Карским морем. </w:t>
      </w:r>
      <w:r>
        <w:rPr>
          <w:sz w:val="28"/>
          <w:szCs w:val="28"/>
          <w:lang w:eastAsia="ar-SA"/>
        </w:rPr>
        <w:t>М</w:t>
      </w:r>
      <w:r w:rsidRPr="00686E96">
        <w:rPr>
          <w:sz w:val="28"/>
          <w:szCs w:val="28"/>
          <w:lang w:eastAsia="ar-SA"/>
        </w:rPr>
        <w:t>аксимальная температура, за исключением крайнего северо-востока, повышалась выше 30°С. Среднесуточная температура воздуха превышала обычные значения на 8...11°С.</w:t>
      </w:r>
    </w:p>
    <w:p w:rsidR="009D6398" w:rsidRPr="00DA5904" w:rsidRDefault="009D6398" w:rsidP="009D6398">
      <w:pPr>
        <w:ind w:left="-284" w:firstLine="710"/>
        <w:jc w:val="both"/>
        <w:rPr>
          <w:sz w:val="28"/>
          <w:szCs w:val="28"/>
          <w:lang w:eastAsia="ar-SA"/>
        </w:rPr>
      </w:pPr>
      <w:r w:rsidRPr="00686E96">
        <w:rPr>
          <w:sz w:val="28"/>
          <w:szCs w:val="28"/>
          <w:lang w:eastAsia="ar-SA"/>
        </w:rPr>
        <w:t>Август начался с заметного снижения температурного фона. На юге еще и сильных дождей. Местами за сутки осадков выпало до 80% от месячной нор</w:t>
      </w:r>
      <w:r>
        <w:rPr>
          <w:sz w:val="28"/>
          <w:szCs w:val="28"/>
          <w:lang w:eastAsia="ar-SA"/>
        </w:rPr>
        <w:t xml:space="preserve">мы. </w:t>
      </w:r>
      <w:r w:rsidRPr="00686E96">
        <w:rPr>
          <w:sz w:val="28"/>
          <w:szCs w:val="28"/>
          <w:lang w:eastAsia="ar-SA"/>
        </w:rPr>
        <w:t>В течение месяца п</w:t>
      </w:r>
      <w:r w:rsidRPr="00686E96">
        <w:rPr>
          <w:rFonts w:cs="Lucida Sans Unicode"/>
          <w:sz w:val="28"/>
          <w:szCs w:val="28"/>
          <w:lang w:eastAsia="ar-SA"/>
        </w:rPr>
        <w:t xml:space="preserve">огодные условия формировались в основном под влиянием циклонов и холодных частей промежуточных антициклонов. </w:t>
      </w:r>
      <w:r w:rsidRPr="00686E96">
        <w:rPr>
          <w:sz w:val="28"/>
          <w:szCs w:val="28"/>
        </w:rPr>
        <w:t xml:space="preserve">Средняя температура воздуха </w:t>
      </w:r>
      <w:r w:rsidRPr="00686E96">
        <w:rPr>
          <w:rFonts w:cs="Lucida Sans Unicode"/>
          <w:sz w:val="28"/>
          <w:szCs w:val="28"/>
          <w:lang w:eastAsia="ar-SA"/>
        </w:rPr>
        <w:t xml:space="preserve">для большинства районов оказалась на 1...2°С выше климатической нормы, для юго-западных - близко к ней. </w:t>
      </w:r>
    </w:p>
    <w:p w:rsidR="009D6398" w:rsidRPr="00686E96" w:rsidRDefault="009D6398" w:rsidP="009D6398">
      <w:pPr>
        <w:pStyle w:val="a5"/>
        <w:spacing w:after="0"/>
        <w:ind w:left="-284" w:firstLine="710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686E96">
        <w:rPr>
          <w:rFonts w:ascii="Times New Roman" w:hAnsi="Times New Roman"/>
          <w:sz w:val="28"/>
          <w:szCs w:val="28"/>
        </w:rPr>
        <w:t xml:space="preserve">В сентябре средняя температура воздуха 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для большинства районов оказалась выше климатической нормы на 2°С, для крайних северо-восточных - на 3...4°С.</w:t>
      </w:r>
      <w:r w:rsidRPr="00656647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Погодные условия в первой и третьей декаде формировались в основном под влиянием антициклонов, наблюдалась теплая погода. Во второй декаде под влиянием циклонов наблюдалась неустойчивая погода с резкими погодными переменами.</w:t>
      </w:r>
    </w:p>
    <w:p w:rsidR="009D6398" w:rsidRPr="008F02AB" w:rsidRDefault="009D6398" w:rsidP="009D6398">
      <w:pPr>
        <w:pStyle w:val="a5"/>
        <w:spacing w:after="0"/>
        <w:ind w:left="-284" w:firstLine="710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первой половине октября погодные условия в основном формировались под влиянием антициклонов, наблюдалась теплая погода. Во второй половине месяца под влиянием быстро перемещающихся активных циклонов, наблюдалась неустойчивая погода с резкими погодными переменами, с чертами зимней.  В целом средняя температура воздуха оказалась выше климатической нормы на 2...3°С.</w:t>
      </w:r>
      <w:r w:rsidRPr="00656647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ок</w:t>
      </w:r>
      <w:r w:rsidRPr="00686E96">
        <w:rPr>
          <w:rFonts w:ascii="Times New Roman" w:eastAsia="Times New Roman" w:hAnsi="Times New Roman"/>
          <w:sz w:val="28"/>
          <w:szCs w:val="28"/>
          <w:lang w:eastAsia="ar-SA"/>
        </w:rPr>
        <w:t>тябре р</w:t>
      </w:r>
      <w:r w:rsidRPr="00686E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аспределение осадков по территории было крайне неравномерным. В юго-западных районах осадков выпало 141-170% от нормы.</w:t>
      </w:r>
      <w:r w:rsidRPr="00686E9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686E96">
        <w:rPr>
          <w:rFonts w:ascii="Times New Roman" w:eastAsia="Times New Roman" w:hAnsi="Times New Roman"/>
          <w:sz w:val="28"/>
          <w:szCs w:val="28"/>
          <w:lang w:eastAsia="ar-SA"/>
        </w:rPr>
        <w:t>На большей части территории - 108-129%, местами в центральных районах - 61-73%. В течение месяца осадки выпадали в виде дождя, при похолодании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виде снега.</w:t>
      </w:r>
    </w:p>
    <w:p w:rsidR="00E14FC7" w:rsidRPr="009D6398" w:rsidRDefault="009D6398" w:rsidP="009D6398">
      <w:pPr>
        <w:pStyle w:val="a5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D6398">
        <w:rPr>
          <w:rFonts w:ascii="Times New Roman" w:hAnsi="Times New Roman"/>
          <w:sz w:val="28"/>
          <w:szCs w:val="28"/>
          <w:lang w:eastAsia="ar-SA"/>
        </w:rPr>
        <w:t xml:space="preserve">В ноябре и декабре погодные условия в основном формировались под </w:t>
      </w:r>
      <w:r w:rsidRPr="009D639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влиянием антициклонов со спокойными погодными условиями, на фоне которых быстро перемещающиеся активные циклоны приносили резкие погодные перемены. В ноябре средняя температура воздуха в южных и центральных районах была выше климатической нормы на 3...4°С, в северных - на 6...7°С. В декабре по республике - в основном на 2...4°С, на фоне теплой и аномально теплой погоды наблюдались непродолжительные, но интенсивные волны холода. Осадки выпадали в основном в виде дождя. До середины декабря погодные условия формировались под влиянием Сибирского антициклона, активные циклоны перемещались через крайние северные районы. Во второй половине декабря происходило чередование морозных антициклонов и теплых циклонов, из-за чего наблюдались резкие погодные перемены и большие температурные контрасты по территории. </w:t>
      </w:r>
      <w:r w:rsidRPr="009D6398">
        <w:rPr>
          <w:rFonts w:ascii="Times New Roman" w:hAnsi="Times New Roman"/>
          <w:sz w:val="28"/>
          <w:szCs w:val="28"/>
        </w:rPr>
        <w:t xml:space="preserve">В декабре средняя температура воздуха </w:t>
      </w:r>
      <w:r w:rsidRPr="009D6398">
        <w:rPr>
          <w:rFonts w:ascii="Times New Roman" w:hAnsi="Times New Roman"/>
          <w:sz w:val="28"/>
          <w:szCs w:val="28"/>
          <w:lang w:eastAsia="ar-SA"/>
        </w:rPr>
        <w:t>для центральных и северо-западных районов оказалась выше климатической нормы на 1...2°С, для крайних юго-западных - на 3°С; для северо-восточных - близко к норме.</w:t>
      </w:r>
    </w:p>
    <w:p w:rsidR="00052826" w:rsidRPr="00052826" w:rsidRDefault="00082B89" w:rsidP="00095CE2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</w:rPr>
        <w:t>Информация по ч</w:t>
      </w:r>
      <w:r w:rsidR="00052826" w:rsidRPr="00052826">
        <w:rPr>
          <w:sz w:val="28"/>
        </w:rPr>
        <w:t>исле</w:t>
      </w:r>
      <w:r>
        <w:rPr>
          <w:sz w:val="28"/>
        </w:rPr>
        <w:t>нности</w:t>
      </w:r>
      <w:r w:rsidR="00783E69">
        <w:rPr>
          <w:sz w:val="28"/>
        </w:rPr>
        <w:t xml:space="preserve"> </w:t>
      </w:r>
      <w:r>
        <w:rPr>
          <w:sz w:val="28"/>
        </w:rPr>
        <w:t>охотничьих ресур</w:t>
      </w:r>
      <w:r w:rsidR="00B037C7">
        <w:rPr>
          <w:sz w:val="28"/>
        </w:rPr>
        <w:t>с</w:t>
      </w:r>
      <w:r>
        <w:rPr>
          <w:sz w:val="28"/>
        </w:rPr>
        <w:t>ов</w:t>
      </w:r>
      <w:r w:rsidR="00C93CD1">
        <w:rPr>
          <w:sz w:val="28"/>
        </w:rPr>
        <w:t xml:space="preserve"> по данным ЗМУ 2021</w:t>
      </w:r>
      <w:r w:rsidR="00052826" w:rsidRPr="00052826">
        <w:rPr>
          <w:sz w:val="28"/>
        </w:rPr>
        <w:t xml:space="preserve"> года (в сравнении с предыдущим годом)</w:t>
      </w:r>
      <w:r>
        <w:rPr>
          <w:sz w:val="28"/>
        </w:rPr>
        <w:t>, а также проект лимитов добычи охотничьих ресурсов</w:t>
      </w:r>
      <w:r w:rsidR="00052826" w:rsidRPr="00052826">
        <w:rPr>
          <w:sz w:val="28"/>
        </w:rPr>
        <w:t xml:space="preserve"> </w:t>
      </w:r>
      <w:r w:rsidR="00C749B3">
        <w:rPr>
          <w:sz w:val="28"/>
        </w:rPr>
        <w:t xml:space="preserve">для ознакомления </w:t>
      </w:r>
      <w:r>
        <w:rPr>
          <w:sz w:val="28"/>
        </w:rPr>
        <w:t>буду</w:t>
      </w:r>
      <w:r w:rsidR="00783E69">
        <w:rPr>
          <w:sz w:val="28"/>
        </w:rPr>
        <w:t xml:space="preserve">т </w:t>
      </w:r>
      <w:r w:rsidR="00052826" w:rsidRPr="00052826">
        <w:rPr>
          <w:sz w:val="28"/>
          <w:szCs w:val="28"/>
        </w:rPr>
        <w:t>от</w:t>
      </w:r>
      <w:r w:rsidR="00B037C7">
        <w:rPr>
          <w:sz w:val="28"/>
          <w:szCs w:val="28"/>
        </w:rPr>
        <w:t>ображены</w:t>
      </w:r>
      <w:r>
        <w:rPr>
          <w:sz w:val="28"/>
          <w:szCs w:val="28"/>
        </w:rPr>
        <w:t xml:space="preserve"> и представлены</w:t>
      </w:r>
      <w:r w:rsidR="005132BF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прилагаемых таблицах</w:t>
      </w:r>
      <w:r w:rsidR="00C749B3">
        <w:rPr>
          <w:sz w:val="28"/>
          <w:szCs w:val="28"/>
        </w:rPr>
        <w:t xml:space="preserve"> на официальном сайте Мин</w:t>
      </w:r>
      <w:r w:rsidR="003D639F">
        <w:rPr>
          <w:sz w:val="28"/>
          <w:szCs w:val="28"/>
        </w:rPr>
        <w:t>истерства и сайте Администраций муниципальных образований</w:t>
      </w:r>
      <w:r w:rsidR="00C749B3">
        <w:rPr>
          <w:sz w:val="28"/>
          <w:szCs w:val="28"/>
        </w:rPr>
        <w:t>.</w:t>
      </w:r>
    </w:p>
    <w:p w:rsidR="00783E69" w:rsidRDefault="00546B06" w:rsidP="00095CE2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</w:rPr>
        <w:t>В 2020</w:t>
      </w:r>
      <w:r w:rsidR="00052826" w:rsidRPr="00052826">
        <w:rPr>
          <w:sz w:val="28"/>
        </w:rPr>
        <w:t xml:space="preserve"> году так же, как и в предыдущие годы проведен долгосрочный учет бурого медведя, который проводится в течение всего периода жизнедеятельности в период с мая по 30 ноября. </w:t>
      </w:r>
      <w:r w:rsidR="00052826" w:rsidRPr="00052826">
        <w:rPr>
          <w:sz w:val="28"/>
          <w:szCs w:val="28"/>
        </w:rPr>
        <w:t xml:space="preserve">В результате проведения натурных работ и последующего расчета, произведенных в соответствии с Методическими указаниями по определению численности бурого медведя, утвержденных Главохотой (М.,1990 г.) </w:t>
      </w:r>
      <w:r w:rsidR="00783E69">
        <w:rPr>
          <w:sz w:val="28"/>
          <w:szCs w:val="28"/>
        </w:rPr>
        <w:t xml:space="preserve">будет </w:t>
      </w:r>
      <w:r w:rsidR="00052826" w:rsidRPr="00052826">
        <w:rPr>
          <w:sz w:val="28"/>
          <w:szCs w:val="28"/>
        </w:rPr>
        <w:t>определена общая численность бурого медведя</w:t>
      </w:r>
      <w:r w:rsidR="00D02E2D">
        <w:rPr>
          <w:sz w:val="28"/>
          <w:szCs w:val="28"/>
        </w:rPr>
        <w:t xml:space="preserve"> на территории Республики Коми.</w:t>
      </w:r>
    </w:p>
    <w:p w:rsidR="00052826" w:rsidRPr="00052826" w:rsidRDefault="00052826" w:rsidP="00095CE2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Квоты на добычу бурого медведя </w:t>
      </w:r>
      <w:r w:rsidR="00783E69">
        <w:rPr>
          <w:sz w:val="28"/>
          <w:szCs w:val="28"/>
        </w:rPr>
        <w:t>будут</w:t>
      </w:r>
      <w:r w:rsidRPr="00052826">
        <w:rPr>
          <w:sz w:val="28"/>
          <w:szCs w:val="28"/>
        </w:rPr>
        <w:t xml:space="preserve"> рассчитаны только </w:t>
      </w:r>
      <w:r w:rsidR="00783E69">
        <w:rPr>
          <w:sz w:val="28"/>
          <w:szCs w:val="28"/>
        </w:rPr>
        <w:t xml:space="preserve">тем </w:t>
      </w:r>
      <w:r w:rsidRPr="00052826">
        <w:rPr>
          <w:sz w:val="28"/>
          <w:szCs w:val="28"/>
        </w:rPr>
        <w:t xml:space="preserve">хозяйствам, которые провели учетные работы, в соответствии с их заявками. </w:t>
      </w:r>
    </w:p>
    <w:p w:rsidR="00D02E2D" w:rsidRDefault="00D02E2D" w:rsidP="00095CE2">
      <w:pPr>
        <w:suppressAutoHyphens/>
        <w:ind w:left="-284" w:firstLine="709"/>
        <w:rPr>
          <w:sz w:val="28"/>
          <w:szCs w:val="28"/>
        </w:rPr>
      </w:pPr>
    </w:p>
    <w:p w:rsidR="00095CE2" w:rsidRDefault="00095CE2" w:rsidP="00095CE2">
      <w:pPr>
        <w:suppressAutoHyphens/>
        <w:ind w:left="142" w:right="-16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095CE2" w:rsidRDefault="00095CE2" w:rsidP="00095CE2">
      <w:pPr>
        <w:suppressAutoHyphens/>
        <w:spacing w:line="200" w:lineRule="exact"/>
        <w:ind w:left="142" w:right="-17" w:firstLine="567"/>
        <w:jc w:val="right"/>
        <w:rPr>
          <w:sz w:val="28"/>
          <w:szCs w:val="28"/>
        </w:rPr>
      </w:pPr>
    </w:p>
    <w:p w:rsidR="00095CE2" w:rsidRPr="009667AF" w:rsidRDefault="00095CE2" w:rsidP="00EF25F6">
      <w:pPr>
        <w:suppressAutoHyphens/>
        <w:ind w:left="142" w:firstLine="709"/>
        <w:rPr>
          <w:sz w:val="28"/>
          <w:szCs w:val="28"/>
        </w:rPr>
      </w:pPr>
      <w:r w:rsidRPr="009667AF">
        <w:rPr>
          <w:sz w:val="28"/>
          <w:szCs w:val="28"/>
        </w:rPr>
        <w:t>Динамика численности охотничьих ресурсов, добыча которых</w:t>
      </w:r>
    </w:p>
    <w:p w:rsidR="00095CE2" w:rsidRPr="009667AF" w:rsidRDefault="00EF25F6" w:rsidP="00EF25F6">
      <w:pPr>
        <w:suppressAutoHyphens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5CE2" w:rsidRPr="009667AF">
        <w:rPr>
          <w:sz w:val="28"/>
          <w:szCs w:val="28"/>
        </w:rPr>
        <w:t>осуществляется в соответствии с лимитом их добычи</w:t>
      </w:r>
    </w:p>
    <w:p w:rsidR="00095CE2" w:rsidRDefault="00EF25F6" w:rsidP="00EF25F6">
      <w:pPr>
        <w:suppressAutoHyphens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93CD1">
        <w:rPr>
          <w:sz w:val="28"/>
          <w:szCs w:val="28"/>
        </w:rPr>
        <w:t>(за 2017-2021</w:t>
      </w:r>
      <w:r w:rsidR="00095CE2">
        <w:rPr>
          <w:sz w:val="28"/>
          <w:szCs w:val="28"/>
        </w:rPr>
        <w:t xml:space="preserve"> г</w:t>
      </w:r>
      <w:r w:rsidR="00C93CD1">
        <w:rPr>
          <w:sz w:val="28"/>
          <w:szCs w:val="28"/>
        </w:rPr>
        <w:t>.</w:t>
      </w:r>
      <w:r w:rsidR="00095CE2" w:rsidRPr="009667AF">
        <w:rPr>
          <w:sz w:val="28"/>
          <w:szCs w:val="28"/>
        </w:rPr>
        <w:t>г. только в охотничьих угодьях)</w:t>
      </w:r>
    </w:p>
    <w:p w:rsidR="00095CE2" w:rsidRPr="009667AF" w:rsidRDefault="00095CE2" w:rsidP="00965C08">
      <w:pPr>
        <w:suppressAutoHyphens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7"/>
        <w:gridCol w:w="1275"/>
        <w:gridCol w:w="1276"/>
        <w:gridCol w:w="1277"/>
        <w:gridCol w:w="1141"/>
      </w:tblGrid>
      <w:tr w:rsidR="00095CE2" w:rsidRPr="00F149C3" w:rsidTr="00EF25F6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95CE2" w:rsidRPr="00F149C3" w:rsidRDefault="00095CE2" w:rsidP="00095CE2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Вид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CE2" w:rsidRPr="00F149C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Общая численность (особей) по годам</w:t>
            </w:r>
          </w:p>
        </w:tc>
      </w:tr>
      <w:tr w:rsidR="00993967" w:rsidRPr="00F149C3" w:rsidTr="00EF25F6">
        <w:trPr>
          <w:trHeight w:val="70"/>
        </w:trPr>
        <w:tc>
          <w:tcPr>
            <w:tcW w:w="1985" w:type="dxa"/>
            <w:vMerge/>
            <w:vAlign w:val="center"/>
          </w:tcPr>
          <w:p w:rsidR="00993967" w:rsidRPr="00F149C3" w:rsidRDefault="00993967" w:rsidP="00993967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27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</w:t>
            </w:r>
          </w:p>
        </w:tc>
        <w:tc>
          <w:tcPr>
            <w:tcW w:w="1276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127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993967" w:rsidRPr="00F149C3" w:rsidTr="00EF25F6">
        <w:tc>
          <w:tcPr>
            <w:tcW w:w="198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113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3866</w:t>
            </w:r>
          </w:p>
        </w:tc>
        <w:tc>
          <w:tcPr>
            <w:tcW w:w="127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3655</w:t>
            </w:r>
          </w:p>
        </w:tc>
        <w:tc>
          <w:tcPr>
            <w:tcW w:w="1276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3554</w:t>
            </w:r>
          </w:p>
        </w:tc>
        <w:tc>
          <w:tcPr>
            <w:tcW w:w="1277" w:type="dxa"/>
            <w:vAlign w:val="center"/>
          </w:tcPr>
          <w:p w:rsidR="00993967" w:rsidRPr="00F149C3" w:rsidRDefault="00C346FB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993967" w:rsidRPr="00FC3FCE" w:rsidRDefault="00A347B7" w:rsidP="00993967">
            <w:pPr>
              <w:suppressAutoHyphens/>
              <w:ind w:left="-142" w:right="-19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3967" w:rsidRPr="00F149C3" w:rsidTr="00EF25F6">
        <w:tc>
          <w:tcPr>
            <w:tcW w:w="198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Выдра</w:t>
            </w:r>
          </w:p>
        </w:tc>
        <w:tc>
          <w:tcPr>
            <w:tcW w:w="113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27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276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993967" w:rsidRPr="00F149C3" w:rsidRDefault="00A347B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3967" w:rsidRPr="00F149C3" w:rsidTr="00EF25F6">
        <w:tc>
          <w:tcPr>
            <w:tcW w:w="198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Лось</w:t>
            </w:r>
          </w:p>
        </w:tc>
        <w:tc>
          <w:tcPr>
            <w:tcW w:w="113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45421</w:t>
            </w:r>
          </w:p>
        </w:tc>
        <w:tc>
          <w:tcPr>
            <w:tcW w:w="127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33169</w:t>
            </w:r>
          </w:p>
        </w:tc>
        <w:tc>
          <w:tcPr>
            <w:tcW w:w="1276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24346</w:t>
            </w:r>
          </w:p>
        </w:tc>
        <w:tc>
          <w:tcPr>
            <w:tcW w:w="127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26509</w:t>
            </w:r>
          </w:p>
        </w:tc>
        <w:tc>
          <w:tcPr>
            <w:tcW w:w="1141" w:type="dxa"/>
            <w:vAlign w:val="center"/>
          </w:tcPr>
          <w:p w:rsidR="00993967" w:rsidRPr="00F149C3" w:rsidRDefault="00A347B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3967" w:rsidRPr="00F149C3" w:rsidTr="00EF25F6">
        <w:tc>
          <w:tcPr>
            <w:tcW w:w="198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Рысь</w:t>
            </w:r>
          </w:p>
        </w:tc>
        <w:tc>
          <w:tcPr>
            <w:tcW w:w="113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307</w:t>
            </w:r>
          </w:p>
        </w:tc>
        <w:tc>
          <w:tcPr>
            <w:tcW w:w="127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486</w:t>
            </w:r>
          </w:p>
        </w:tc>
        <w:tc>
          <w:tcPr>
            <w:tcW w:w="1276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127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141" w:type="dxa"/>
            <w:vAlign w:val="center"/>
          </w:tcPr>
          <w:p w:rsidR="00993967" w:rsidRPr="00F149C3" w:rsidRDefault="00A347B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3967" w:rsidRPr="00F149C3" w:rsidTr="00EF25F6">
        <w:trPr>
          <w:trHeight w:val="335"/>
        </w:trPr>
        <w:tc>
          <w:tcPr>
            <w:tcW w:w="1985" w:type="dxa"/>
            <w:vAlign w:val="center"/>
          </w:tcPr>
          <w:p w:rsidR="00993967" w:rsidRPr="00F149C3" w:rsidRDefault="00993967" w:rsidP="00DB3B71">
            <w:pPr>
              <w:suppressAutoHyphens/>
              <w:ind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Барсук</w:t>
            </w:r>
          </w:p>
        </w:tc>
        <w:tc>
          <w:tcPr>
            <w:tcW w:w="1137" w:type="dxa"/>
            <w:vAlign w:val="center"/>
          </w:tcPr>
          <w:p w:rsidR="00993967" w:rsidRPr="00F149C3" w:rsidRDefault="00993967" w:rsidP="00993967">
            <w:pPr>
              <w:suppressAutoHyphens/>
              <w:ind w:left="-10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275" w:type="dxa"/>
            <w:vAlign w:val="center"/>
          </w:tcPr>
          <w:p w:rsidR="00993967" w:rsidRPr="00F149C3" w:rsidRDefault="00993967" w:rsidP="00993967">
            <w:pPr>
              <w:suppressAutoHyphens/>
              <w:ind w:left="-10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993967" w:rsidRPr="00F149C3" w:rsidRDefault="00993967" w:rsidP="00993967">
            <w:pPr>
              <w:suppressAutoHyphens/>
              <w:ind w:left="-10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7" w:type="dxa"/>
            <w:vAlign w:val="center"/>
          </w:tcPr>
          <w:p w:rsidR="00993967" w:rsidRPr="00F149C3" w:rsidRDefault="00993967" w:rsidP="00993967">
            <w:pPr>
              <w:suppressAutoHyphens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993967" w:rsidRPr="00F149C3" w:rsidRDefault="00A347B7" w:rsidP="00993967">
            <w:pPr>
              <w:suppressAutoHyphens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3967" w:rsidRPr="00F149C3" w:rsidTr="00EF25F6">
        <w:trPr>
          <w:trHeight w:val="335"/>
        </w:trPr>
        <w:tc>
          <w:tcPr>
            <w:tcW w:w="1985" w:type="dxa"/>
            <w:vMerge w:val="restart"/>
            <w:vAlign w:val="center"/>
          </w:tcPr>
          <w:p w:rsidR="00993967" w:rsidRPr="00F149C3" w:rsidRDefault="00DB3B71" w:rsidP="00DB3B71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6106" w:type="dxa"/>
            <w:gridSpan w:val="5"/>
            <w:vAlign w:val="center"/>
          </w:tcPr>
          <w:p w:rsidR="00993967" w:rsidRPr="00F149C3" w:rsidRDefault="00993967" w:rsidP="00993967">
            <w:pPr>
              <w:suppressAutoHyphens/>
              <w:ind w:left="57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Занесен</w:t>
            </w:r>
            <w:r>
              <w:rPr>
                <w:sz w:val="26"/>
                <w:szCs w:val="26"/>
              </w:rPr>
              <w:t>ы</w:t>
            </w:r>
            <w:r w:rsidRPr="00F149C3">
              <w:rPr>
                <w:sz w:val="26"/>
                <w:szCs w:val="26"/>
              </w:rPr>
              <w:t xml:space="preserve"> в Красную книгу Республики Коми</w:t>
            </w:r>
          </w:p>
        </w:tc>
      </w:tr>
      <w:tr w:rsidR="00993967" w:rsidRPr="00F149C3" w:rsidTr="00EF25F6">
        <w:trPr>
          <w:trHeight w:val="335"/>
        </w:trPr>
        <w:tc>
          <w:tcPr>
            <w:tcW w:w="1985" w:type="dxa"/>
            <w:vMerge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993967" w:rsidRPr="00F149C3" w:rsidRDefault="00993967" w:rsidP="00993967">
            <w:pPr>
              <w:suppressAutoHyphens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6059</w:t>
            </w:r>
          </w:p>
        </w:tc>
        <w:tc>
          <w:tcPr>
            <w:tcW w:w="1275" w:type="dxa"/>
            <w:vAlign w:val="center"/>
          </w:tcPr>
          <w:p w:rsidR="00993967" w:rsidRPr="00F149C3" w:rsidRDefault="00993967" w:rsidP="00993967">
            <w:pPr>
              <w:suppressAutoHyphens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3285</w:t>
            </w:r>
          </w:p>
        </w:tc>
        <w:tc>
          <w:tcPr>
            <w:tcW w:w="1276" w:type="dxa"/>
            <w:vAlign w:val="center"/>
          </w:tcPr>
          <w:p w:rsidR="00993967" w:rsidRPr="00F149C3" w:rsidRDefault="00993967" w:rsidP="00993967">
            <w:pPr>
              <w:suppressAutoHyphens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</w:t>
            </w:r>
          </w:p>
        </w:tc>
        <w:tc>
          <w:tcPr>
            <w:tcW w:w="1277" w:type="dxa"/>
            <w:vAlign w:val="center"/>
          </w:tcPr>
          <w:p w:rsidR="00993967" w:rsidRPr="00F149C3" w:rsidRDefault="00993967" w:rsidP="00993967">
            <w:pPr>
              <w:suppressAutoHyphens/>
              <w:ind w:left="-108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9782</w:t>
            </w:r>
          </w:p>
        </w:tc>
        <w:tc>
          <w:tcPr>
            <w:tcW w:w="1141" w:type="dxa"/>
            <w:vAlign w:val="center"/>
          </w:tcPr>
          <w:p w:rsidR="00993967" w:rsidRPr="00F149C3" w:rsidRDefault="00A347B7" w:rsidP="00993967">
            <w:pPr>
              <w:suppressAutoHyphens/>
              <w:ind w:left="-108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3967" w:rsidRPr="00F149C3" w:rsidTr="00EF25F6">
        <w:trPr>
          <w:trHeight w:val="335"/>
        </w:trPr>
        <w:tc>
          <w:tcPr>
            <w:tcW w:w="198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Соболь</w:t>
            </w:r>
          </w:p>
        </w:tc>
        <w:tc>
          <w:tcPr>
            <w:tcW w:w="113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</w:t>
            </w:r>
          </w:p>
        </w:tc>
        <w:tc>
          <w:tcPr>
            <w:tcW w:w="1275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195</w:t>
            </w:r>
          </w:p>
        </w:tc>
        <w:tc>
          <w:tcPr>
            <w:tcW w:w="1276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7" w:type="dxa"/>
            <w:vAlign w:val="center"/>
          </w:tcPr>
          <w:p w:rsidR="00993967" w:rsidRPr="00F149C3" w:rsidRDefault="00993967" w:rsidP="00993967">
            <w:pPr>
              <w:suppressAutoHyphens/>
              <w:ind w:left="-142" w:right="-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0</w:t>
            </w:r>
          </w:p>
        </w:tc>
        <w:tc>
          <w:tcPr>
            <w:tcW w:w="1141" w:type="dxa"/>
            <w:vAlign w:val="center"/>
          </w:tcPr>
          <w:p w:rsidR="00993967" w:rsidRPr="00F149C3" w:rsidRDefault="00A347B7" w:rsidP="00A347B7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D4B07" w:rsidRPr="00620B02" w:rsidRDefault="00052826" w:rsidP="00B061FC">
      <w:pPr>
        <w:tabs>
          <w:tab w:val="left" w:pos="426"/>
        </w:tabs>
        <w:suppressAutoHyphens/>
        <w:ind w:left="-284" w:right="45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lastRenderedPageBreak/>
        <w:t>Показателей численности по выдре нет. При установлении лимита добычи этого охотничьего ресурса используютс</w:t>
      </w:r>
      <w:r w:rsidR="00F81908">
        <w:rPr>
          <w:sz w:val="28"/>
          <w:szCs w:val="28"/>
        </w:rPr>
        <w:t xml:space="preserve">я экстраполированные данные </w:t>
      </w:r>
      <w:r w:rsidR="002D4B07">
        <w:rPr>
          <w:sz w:val="28"/>
          <w:szCs w:val="28"/>
        </w:rPr>
        <w:t>Федерального государственного</w:t>
      </w:r>
      <w:r w:rsidR="002D4B07" w:rsidRPr="001E31A5">
        <w:rPr>
          <w:sz w:val="28"/>
          <w:szCs w:val="28"/>
        </w:rPr>
        <w:t xml:space="preserve"> бюджетно</w:t>
      </w:r>
      <w:r w:rsidR="002D4B07">
        <w:rPr>
          <w:sz w:val="28"/>
          <w:szCs w:val="28"/>
        </w:rPr>
        <w:t>го</w:t>
      </w:r>
      <w:r w:rsidR="002D4B07" w:rsidRPr="001E31A5">
        <w:rPr>
          <w:sz w:val="28"/>
          <w:szCs w:val="28"/>
        </w:rPr>
        <w:t xml:space="preserve"> учрежде</w:t>
      </w:r>
      <w:r w:rsidR="002D4B07">
        <w:rPr>
          <w:sz w:val="28"/>
          <w:szCs w:val="28"/>
        </w:rPr>
        <w:t>ния</w:t>
      </w:r>
      <w:r w:rsidR="002D4B07" w:rsidRPr="001E31A5">
        <w:rPr>
          <w:sz w:val="28"/>
          <w:szCs w:val="28"/>
        </w:rPr>
        <w:t xml:space="preserve"> «Федеральный центр </w:t>
      </w:r>
      <w:r w:rsidR="002D4B07">
        <w:rPr>
          <w:sz w:val="28"/>
          <w:szCs w:val="28"/>
        </w:rPr>
        <w:t>развития охотничьего хозяйства».</w:t>
      </w:r>
    </w:p>
    <w:p w:rsidR="00095CE2" w:rsidRDefault="00052826" w:rsidP="002D4B07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Этот показатель остается стабильным в течение последних лет.</w:t>
      </w:r>
    </w:p>
    <w:p w:rsidR="00095CE2" w:rsidRDefault="00095CE2" w:rsidP="002D4B07">
      <w:pPr>
        <w:suppressAutoHyphens/>
        <w:ind w:left="-284" w:firstLine="709"/>
        <w:jc w:val="both"/>
        <w:rPr>
          <w:sz w:val="28"/>
          <w:szCs w:val="28"/>
        </w:rPr>
      </w:pPr>
    </w:p>
    <w:p w:rsidR="00095CE2" w:rsidRPr="00EE245B" w:rsidRDefault="00095CE2" w:rsidP="00095CE2">
      <w:pPr>
        <w:suppressAutoHyphens/>
        <w:jc w:val="right"/>
        <w:rPr>
          <w:sz w:val="28"/>
          <w:szCs w:val="28"/>
        </w:rPr>
      </w:pPr>
      <w:r w:rsidRPr="00EE245B">
        <w:rPr>
          <w:sz w:val="28"/>
          <w:szCs w:val="28"/>
        </w:rPr>
        <w:t>Таблица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Динамика фактической добычи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лимитируемых охотничьих ресурсов, шт. особей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1"/>
        <w:gridCol w:w="709"/>
        <w:gridCol w:w="709"/>
        <w:gridCol w:w="709"/>
        <w:gridCol w:w="708"/>
        <w:gridCol w:w="709"/>
        <w:gridCol w:w="851"/>
        <w:gridCol w:w="708"/>
        <w:gridCol w:w="709"/>
        <w:gridCol w:w="708"/>
      </w:tblGrid>
      <w:tr w:rsidR="00095CE2" w:rsidRPr="00635DF3" w:rsidTr="00EF25F6">
        <w:tc>
          <w:tcPr>
            <w:tcW w:w="1985" w:type="dxa"/>
            <w:vMerge w:val="restart"/>
            <w:textDirection w:val="btLr"/>
            <w:vAlign w:val="center"/>
          </w:tcPr>
          <w:p w:rsidR="00095CE2" w:rsidRPr="00635DF3" w:rsidRDefault="00095CE2" w:rsidP="00EF25F6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Виды охотничьих</w:t>
            </w:r>
          </w:p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животных</w:t>
            </w:r>
          </w:p>
        </w:tc>
        <w:tc>
          <w:tcPr>
            <w:tcW w:w="7121" w:type="dxa"/>
            <w:gridSpan w:val="10"/>
            <w:vAlign w:val="center"/>
          </w:tcPr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Сезон охоты</w:t>
            </w:r>
          </w:p>
        </w:tc>
      </w:tr>
      <w:tr w:rsidR="00095CE2" w:rsidRPr="00635DF3" w:rsidTr="00EF25F6">
        <w:trPr>
          <w:trHeight w:val="301"/>
        </w:trPr>
        <w:tc>
          <w:tcPr>
            <w:tcW w:w="1985" w:type="dxa"/>
            <w:vMerge/>
            <w:vAlign w:val="center"/>
          </w:tcPr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95CE2" w:rsidRPr="00635DF3" w:rsidRDefault="00721B4A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35DF3">
              <w:rPr>
                <w:sz w:val="26"/>
                <w:szCs w:val="26"/>
              </w:rPr>
              <w:t>2016-2017</w:t>
            </w:r>
          </w:p>
        </w:tc>
        <w:tc>
          <w:tcPr>
            <w:tcW w:w="1418" w:type="dxa"/>
            <w:gridSpan w:val="2"/>
            <w:vAlign w:val="center"/>
          </w:tcPr>
          <w:p w:rsidR="00095CE2" w:rsidRPr="00635DF3" w:rsidRDefault="00235A75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2017-2018</w:t>
            </w:r>
          </w:p>
        </w:tc>
        <w:tc>
          <w:tcPr>
            <w:tcW w:w="1417" w:type="dxa"/>
            <w:gridSpan w:val="2"/>
            <w:vAlign w:val="center"/>
          </w:tcPr>
          <w:p w:rsidR="00095CE2" w:rsidRPr="00635DF3" w:rsidRDefault="00235A75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2018-2019</w:t>
            </w:r>
          </w:p>
        </w:tc>
        <w:tc>
          <w:tcPr>
            <w:tcW w:w="1559" w:type="dxa"/>
            <w:gridSpan w:val="2"/>
            <w:vAlign w:val="center"/>
          </w:tcPr>
          <w:p w:rsidR="00095CE2" w:rsidRPr="00635DF3" w:rsidRDefault="00235A75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2019-2020</w:t>
            </w:r>
          </w:p>
        </w:tc>
        <w:tc>
          <w:tcPr>
            <w:tcW w:w="1417" w:type="dxa"/>
            <w:gridSpan w:val="2"/>
            <w:vAlign w:val="center"/>
          </w:tcPr>
          <w:p w:rsidR="00095CE2" w:rsidRPr="00635DF3" w:rsidRDefault="00235A75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</w:tr>
      <w:tr w:rsidR="00721B4A" w:rsidRPr="00635DF3" w:rsidTr="00EF25F6">
        <w:trPr>
          <w:cantSplit/>
          <w:trHeight w:val="952"/>
        </w:trPr>
        <w:tc>
          <w:tcPr>
            <w:tcW w:w="1985" w:type="dxa"/>
            <w:vMerge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51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</w:tr>
      <w:tr w:rsidR="00095CE2" w:rsidRPr="00635DF3" w:rsidTr="00EF25F6"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</w:t>
            </w:r>
          </w:p>
        </w:tc>
      </w:tr>
      <w:tr w:rsidR="00235A75" w:rsidRPr="00635DF3" w:rsidTr="00EF25F6">
        <w:tc>
          <w:tcPr>
            <w:tcW w:w="1985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Лось</w:t>
            </w:r>
          </w:p>
        </w:tc>
        <w:tc>
          <w:tcPr>
            <w:tcW w:w="60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1179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717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1592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825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1194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626</w:t>
            </w:r>
          </w:p>
        </w:tc>
        <w:tc>
          <w:tcPr>
            <w:tcW w:w="85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745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509</w:t>
            </w:r>
          </w:p>
        </w:tc>
        <w:tc>
          <w:tcPr>
            <w:tcW w:w="709" w:type="dxa"/>
            <w:vAlign w:val="center"/>
          </w:tcPr>
          <w:p w:rsidR="00235A75" w:rsidRPr="00635DF3" w:rsidRDefault="007B2471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708" w:type="dxa"/>
            <w:vAlign w:val="center"/>
          </w:tcPr>
          <w:p w:rsidR="00235A75" w:rsidRPr="00635DF3" w:rsidRDefault="00743242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35A75" w:rsidRPr="00635DF3" w:rsidTr="00EF25F6">
        <w:tc>
          <w:tcPr>
            <w:tcW w:w="1985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60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141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39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205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70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184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32</w:t>
            </w:r>
          </w:p>
        </w:tc>
        <w:tc>
          <w:tcPr>
            <w:tcW w:w="85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230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61</w:t>
            </w:r>
          </w:p>
        </w:tc>
        <w:tc>
          <w:tcPr>
            <w:tcW w:w="709" w:type="dxa"/>
            <w:vAlign w:val="center"/>
          </w:tcPr>
          <w:p w:rsidR="00235A75" w:rsidRPr="00635DF3" w:rsidRDefault="007B2471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708" w:type="dxa"/>
            <w:vAlign w:val="center"/>
          </w:tcPr>
          <w:p w:rsidR="00235A75" w:rsidRPr="00635DF3" w:rsidRDefault="00743242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35A75" w:rsidRPr="00635DF3" w:rsidTr="00EF25F6">
        <w:tc>
          <w:tcPr>
            <w:tcW w:w="1985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Выдра</w:t>
            </w:r>
          </w:p>
        </w:tc>
        <w:tc>
          <w:tcPr>
            <w:tcW w:w="60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17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A75" w:rsidRPr="00635DF3" w:rsidRDefault="007B2471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8" w:type="dxa"/>
            <w:vAlign w:val="center"/>
          </w:tcPr>
          <w:p w:rsidR="00235A75" w:rsidRPr="00635DF3" w:rsidRDefault="00743242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35A75" w:rsidRPr="00635DF3" w:rsidTr="00EF25F6">
        <w:tc>
          <w:tcPr>
            <w:tcW w:w="1985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Рысь</w:t>
            </w:r>
          </w:p>
        </w:tc>
        <w:tc>
          <w:tcPr>
            <w:tcW w:w="60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A75" w:rsidRPr="00635DF3" w:rsidRDefault="007B2471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235A75" w:rsidRPr="00635DF3" w:rsidRDefault="00743242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35A75" w:rsidRPr="00635DF3" w:rsidTr="00EF25F6">
        <w:trPr>
          <w:trHeight w:val="70"/>
        </w:trPr>
        <w:tc>
          <w:tcPr>
            <w:tcW w:w="1985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Соболь</w:t>
            </w:r>
          </w:p>
        </w:tc>
        <w:tc>
          <w:tcPr>
            <w:tcW w:w="60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235A75" w:rsidRPr="00635DF3" w:rsidRDefault="00235A75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35A75" w:rsidRPr="00635DF3" w:rsidRDefault="007B2471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235A75" w:rsidRPr="00635DF3" w:rsidRDefault="00743242" w:rsidP="00235A75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5CE2" w:rsidRPr="00635DF3" w:rsidTr="00EF25F6">
        <w:trPr>
          <w:trHeight w:val="189"/>
        </w:trPr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Барсук</w:t>
            </w:r>
          </w:p>
        </w:tc>
        <w:tc>
          <w:tcPr>
            <w:tcW w:w="7121" w:type="dxa"/>
            <w:gridSpan w:val="10"/>
            <w:vMerge w:val="restart"/>
            <w:tcBorders>
              <w:top w:val="nil"/>
            </w:tcBorders>
            <w:vAlign w:val="center"/>
          </w:tcPr>
          <w:p w:rsidR="00095CE2" w:rsidRPr="00635DF3" w:rsidRDefault="00095CE2" w:rsidP="00B268B0">
            <w:pPr>
              <w:suppressAutoHyphens/>
              <w:ind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Охота запрещена</w:t>
            </w:r>
          </w:p>
        </w:tc>
      </w:tr>
      <w:tr w:rsidR="00095CE2" w:rsidRPr="00635DF3" w:rsidTr="00EF25F6">
        <w:trPr>
          <w:trHeight w:val="70"/>
        </w:trPr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7121" w:type="dxa"/>
            <w:gridSpan w:val="10"/>
            <w:vMerge/>
            <w:vAlign w:val="center"/>
          </w:tcPr>
          <w:p w:rsidR="00095CE2" w:rsidRPr="00635DF3" w:rsidRDefault="00095CE2" w:rsidP="00B268B0">
            <w:pPr>
              <w:suppressAutoHyphens/>
              <w:ind w:right="-107"/>
              <w:rPr>
                <w:sz w:val="26"/>
                <w:szCs w:val="26"/>
              </w:rPr>
            </w:pPr>
          </w:p>
        </w:tc>
      </w:tr>
    </w:tbl>
    <w:p w:rsidR="00011064" w:rsidRDefault="00011064" w:rsidP="00095CE2">
      <w:pPr>
        <w:suppressAutoHyphens/>
        <w:jc w:val="both"/>
        <w:rPr>
          <w:sz w:val="28"/>
          <w:szCs w:val="28"/>
        </w:rPr>
      </w:pPr>
    </w:p>
    <w:p w:rsidR="00A37EB5" w:rsidRPr="00A37EB5" w:rsidRDefault="00A37EB5" w:rsidP="00095CE2">
      <w:pPr>
        <w:suppressAutoHyphens/>
        <w:ind w:left="-284" w:firstLine="709"/>
        <w:jc w:val="both"/>
        <w:rPr>
          <w:sz w:val="28"/>
        </w:rPr>
      </w:pPr>
      <w:r w:rsidRPr="00052826">
        <w:rPr>
          <w:sz w:val="28"/>
        </w:rPr>
        <w:t xml:space="preserve">Приведенные данные таблицы свидетельствуют, что из года в год лимиты изъятия охотничьих ресурсов, на которые устанавливается лимит добычи, в том числе лося, в Республике </w:t>
      </w:r>
      <w:r w:rsidR="001147CB">
        <w:rPr>
          <w:sz w:val="28"/>
        </w:rPr>
        <w:t>Коми не осваиваются полностью. Разрешения</w:t>
      </w:r>
      <w:r w:rsidRPr="00052826">
        <w:rPr>
          <w:sz w:val="28"/>
        </w:rPr>
        <w:t xml:space="preserve"> на добычу пушных видов зверей</w:t>
      </w:r>
      <w:r w:rsidR="00EB4AF7">
        <w:rPr>
          <w:sz w:val="28"/>
        </w:rPr>
        <w:t xml:space="preserve"> не пользуются спросом, так как</w:t>
      </w:r>
      <w:r w:rsidRPr="00052826">
        <w:rPr>
          <w:sz w:val="28"/>
        </w:rPr>
        <w:t xml:space="preserve"> отсутствует цивили</w:t>
      </w:r>
      <w:r>
        <w:rPr>
          <w:sz w:val="28"/>
        </w:rPr>
        <w:t>зованная заготовка шкур.</w:t>
      </w:r>
    </w:p>
    <w:p w:rsidR="00052826" w:rsidRDefault="00052826" w:rsidP="00095CE2">
      <w:pPr>
        <w:tabs>
          <w:tab w:val="left" w:pos="426"/>
        </w:tabs>
        <w:suppressAutoHyphens/>
        <w:ind w:left="-284" w:firstLine="709"/>
        <w:jc w:val="both"/>
        <w:rPr>
          <w:snapToGrid w:val="0"/>
          <w:sz w:val="28"/>
        </w:rPr>
      </w:pPr>
      <w:r w:rsidRPr="00052826">
        <w:rPr>
          <w:snapToGrid w:val="0"/>
          <w:sz w:val="28"/>
        </w:rPr>
        <w:t>В соответствии с требованиями к материалам, представляемым на экологическую экспертизу, ниже приводятся данные по зарегистрированным случаям нелегального изъятия квотируемых охотничь</w:t>
      </w:r>
      <w:r w:rsidR="00254CB8">
        <w:rPr>
          <w:snapToGrid w:val="0"/>
          <w:sz w:val="28"/>
        </w:rPr>
        <w:t>их животны</w:t>
      </w:r>
      <w:r w:rsidR="00A37EB5">
        <w:rPr>
          <w:snapToGrid w:val="0"/>
          <w:sz w:val="28"/>
        </w:rPr>
        <w:t xml:space="preserve">х </w:t>
      </w:r>
      <w:r w:rsidR="00AA530A">
        <w:rPr>
          <w:snapToGrid w:val="0"/>
          <w:sz w:val="28"/>
        </w:rPr>
        <w:t xml:space="preserve">за </w:t>
      </w:r>
      <w:r w:rsidR="00A37EB5">
        <w:rPr>
          <w:snapToGrid w:val="0"/>
          <w:sz w:val="28"/>
        </w:rPr>
        <w:t>последние 5 лет (таблица 2</w:t>
      </w:r>
      <w:r w:rsidR="00254CB8">
        <w:rPr>
          <w:snapToGrid w:val="0"/>
          <w:sz w:val="28"/>
        </w:rPr>
        <w:t>).</w:t>
      </w:r>
    </w:p>
    <w:p w:rsidR="007112B8" w:rsidRDefault="007112B8" w:rsidP="00095CE2">
      <w:pPr>
        <w:tabs>
          <w:tab w:val="left" w:pos="142"/>
          <w:tab w:val="left" w:pos="426"/>
        </w:tabs>
        <w:suppressAutoHyphens/>
        <w:ind w:left="-284" w:firstLine="709"/>
        <w:rPr>
          <w:snapToGrid w:val="0"/>
          <w:sz w:val="28"/>
        </w:rPr>
      </w:pPr>
    </w:p>
    <w:p w:rsidR="00C80D29" w:rsidRDefault="00A37EB5" w:rsidP="00C80D29">
      <w:pPr>
        <w:tabs>
          <w:tab w:val="left" w:pos="142"/>
          <w:tab w:val="left" w:pos="426"/>
        </w:tabs>
        <w:suppressAutoHyphens/>
        <w:ind w:left="-284" w:firstLine="709"/>
        <w:jc w:val="right"/>
        <w:rPr>
          <w:snapToGrid w:val="0"/>
          <w:sz w:val="28"/>
        </w:rPr>
      </w:pPr>
      <w:r>
        <w:rPr>
          <w:snapToGrid w:val="0"/>
          <w:sz w:val="28"/>
        </w:rPr>
        <w:t>Таблица 2</w:t>
      </w:r>
    </w:p>
    <w:p w:rsidR="00C46E74" w:rsidRPr="00C80D29" w:rsidRDefault="00C46E74" w:rsidP="00C80D29">
      <w:pPr>
        <w:tabs>
          <w:tab w:val="left" w:pos="142"/>
          <w:tab w:val="left" w:pos="426"/>
        </w:tabs>
        <w:suppressAutoHyphens/>
        <w:ind w:left="-284" w:firstLine="709"/>
        <w:jc w:val="right"/>
        <w:rPr>
          <w:snapToGrid w:val="0"/>
          <w:sz w:val="28"/>
        </w:rPr>
      </w:pPr>
    </w:p>
    <w:p w:rsidR="00C80D29" w:rsidRPr="00635DF3" w:rsidRDefault="00C80D29" w:rsidP="00C80D29">
      <w:pPr>
        <w:tabs>
          <w:tab w:val="left" w:pos="142"/>
        </w:tabs>
        <w:suppressAutoHyphens/>
        <w:spacing w:line="360" w:lineRule="auto"/>
        <w:ind w:left="142"/>
        <w:jc w:val="center"/>
        <w:rPr>
          <w:snapToGrid w:val="0"/>
          <w:sz w:val="28"/>
          <w:szCs w:val="28"/>
        </w:rPr>
      </w:pPr>
      <w:r w:rsidRPr="00635DF3">
        <w:rPr>
          <w:snapToGrid w:val="0"/>
          <w:sz w:val="28"/>
          <w:szCs w:val="28"/>
        </w:rPr>
        <w:t xml:space="preserve">Динамика нелегальной добычи </w:t>
      </w:r>
      <w:r w:rsidR="00C46E74">
        <w:rPr>
          <w:snapToGrid w:val="0"/>
          <w:sz w:val="28"/>
          <w:szCs w:val="28"/>
        </w:rPr>
        <w:t xml:space="preserve">лимитируемых видов </w:t>
      </w:r>
      <w:r w:rsidRPr="00635DF3">
        <w:rPr>
          <w:snapToGrid w:val="0"/>
          <w:sz w:val="28"/>
          <w:szCs w:val="28"/>
        </w:rPr>
        <w:t>охотничьих ресурсов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</w:tblGrid>
      <w:tr w:rsidR="00C80D29" w:rsidRPr="00635DF3" w:rsidTr="00B268B0">
        <w:trPr>
          <w:trHeight w:val="203"/>
        </w:trPr>
        <w:tc>
          <w:tcPr>
            <w:tcW w:w="2410" w:type="dxa"/>
            <w:vMerge w:val="restart"/>
            <w:vAlign w:val="center"/>
          </w:tcPr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Выявлена</w:t>
            </w:r>
          </w:p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незаконная добыча</w:t>
            </w:r>
          </w:p>
        </w:tc>
        <w:tc>
          <w:tcPr>
            <w:tcW w:w="4252" w:type="dxa"/>
            <w:gridSpan w:val="5"/>
            <w:vAlign w:val="center"/>
          </w:tcPr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Г о д ы</w:t>
            </w:r>
          </w:p>
        </w:tc>
      </w:tr>
      <w:tr w:rsidR="009F59BB" w:rsidRPr="00635DF3" w:rsidTr="00B268B0">
        <w:tc>
          <w:tcPr>
            <w:tcW w:w="2410" w:type="dxa"/>
            <w:vMerge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2016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2018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2019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2020</w:t>
            </w:r>
          </w:p>
        </w:tc>
      </w:tr>
      <w:tr w:rsidR="009F59BB" w:rsidRPr="00635DF3" w:rsidTr="00B268B0">
        <w:tc>
          <w:tcPr>
            <w:tcW w:w="241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Лось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9F59BB" w:rsidRPr="00635DF3" w:rsidRDefault="0062301D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</w:tr>
      <w:tr w:rsidR="009F59BB" w:rsidRPr="00635DF3" w:rsidTr="00B268B0">
        <w:tc>
          <w:tcPr>
            <w:tcW w:w="241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Бурый медведь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9F59BB" w:rsidRPr="00635DF3" w:rsidRDefault="00C94422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</w:tr>
      <w:tr w:rsidR="009F59BB" w:rsidRPr="00635DF3" w:rsidTr="00B268B0">
        <w:tc>
          <w:tcPr>
            <w:tcW w:w="241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Рысь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9F59BB" w:rsidRPr="00635DF3" w:rsidTr="00B268B0">
        <w:tc>
          <w:tcPr>
            <w:tcW w:w="241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Соболь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9F59BB" w:rsidRPr="00635DF3" w:rsidTr="00B268B0">
        <w:tc>
          <w:tcPr>
            <w:tcW w:w="241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Выдра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</w:tbl>
    <w:p w:rsidR="00052826" w:rsidRPr="00052826" w:rsidRDefault="00052826" w:rsidP="00C346FB">
      <w:pPr>
        <w:suppressAutoHyphens/>
        <w:jc w:val="both"/>
        <w:rPr>
          <w:sz w:val="28"/>
        </w:rPr>
      </w:pPr>
    </w:p>
    <w:p w:rsidR="00052826" w:rsidRPr="00052826" w:rsidRDefault="00052826" w:rsidP="00095CE2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Оценка воздействия устанавливаемых на территории Республики Коми лимитов и квот добычи охотнич</w:t>
      </w:r>
      <w:r w:rsidR="007E459F">
        <w:rPr>
          <w:sz w:val="28"/>
          <w:szCs w:val="28"/>
        </w:rPr>
        <w:t>ьих ресурсов в сезоне охоты 2021-2022</w:t>
      </w:r>
      <w:r w:rsidRPr="00052826">
        <w:rPr>
          <w:sz w:val="28"/>
          <w:szCs w:val="28"/>
        </w:rPr>
        <w:t xml:space="preserve"> гг. на окружающую среду:</w:t>
      </w:r>
    </w:p>
    <w:p w:rsidR="00052826" w:rsidRPr="00052826" w:rsidRDefault="005A1597" w:rsidP="00095CE2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воздействие на атмосфе</w:t>
      </w:r>
      <w:r w:rsidR="006F5758">
        <w:rPr>
          <w:sz w:val="28"/>
          <w:szCs w:val="28"/>
        </w:rPr>
        <w:t>рный воздух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095CE2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F5758">
        <w:rPr>
          <w:sz w:val="28"/>
          <w:szCs w:val="28"/>
        </w:rPr>
        <w:t>воздействие на водные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095CE2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</w:t>
      </w:r>
      <w:r w:rsidR="006F5758">
        <w:rPr>
          <w:sz w:val="28"/>
          <w:szCs w:val="28"/>
        </w:rPr>
        <w:t>здействие на земельные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095CE2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образование отходов - не прогнозируется</w:t>
      </w:r>
      <w:r w:rsidR="006F5758">
        <w:rPr>
          <w:sz w:val="28"/>
          <w:szCs w:val="28"/>
        </w:rPr>
        <w:t>;</w:t>
      </w:r>
    </w:p>
    <w:p w:rsidR="00052826" w:rsidRPr="00052826" w:rsidRDefault="005A1597" w:rsidP="00095CE2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 xml:space="preserve">отрицательное воздействие </w:t>
      </w:r>
      <w:r w:rsidR="006F5758">
        <w:rPr>
          <w:sz w:val="28"/>
          <w:szCs w:val="28"/>
        </w:rPr>
        <w:t>на растительный и животный мир -</w:t>
      </w:r>
      <w:r w:rsidR="00052826" w:rsidRPr="00052826">
        <w:rPr>
          <w:sz w:val="28"/>
          <w:szCs w:val="28"/>
        </w:rPr>
        <w:t xml:space="preserve"> не прогнозируется. </w:t>
      </w:r>
    </w:p>
    <w:p w:rsidR="00052826" w:rsidRPr="00052826" w:rsidRDefault="00052826" w:rsidP="00095CE2">
      <w:pPr>
        <w:suppressAutoHyphens/>
        <w:ind w:left="-284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Размер (квота) изъятия охотничьих ресурсов </w:t>
      </w:r>
      <w:r w:rsidR="005A1597">
        <w:rPr>
          <w:sz w:val="28"/>
          <w:szCs w:val="28"/>
        </w:rPr>
        <w:t xml:space="preserve">будет </w:t>
      </w:r>
      <w:r w:rsidRPr="00052826">
        <w:rPr>
          <w:sz w:val="28"/>
          <w:szCs w:val="28"/>
        </w:rPr>
        <w:t>рассчитан</w:t>
      </w:r>
      <w:r w:rsidR="005A1597">
        <w:rPr>
          <w:sz w:val="28"/>
          <w:szCs w:val="28"/>
        </w:rPr>
        <w:t>а</w:t>
      </w:r>
      <w:r w:rsidRPr="00052826">
        <w:rPr>
          <w:sz w:val="28"/>
          <w:szCs w:val="28"/>
        </w:rPr>
        <w:t xml:space="preserve"> на основании наличия реальных ресурсов и с учетом состояния популяций охотничьих животных конкретного хозяйства. Средний процент изъятия лося в целом на республику в предстоящем охотничьем сезоне предусматривается в размере 3</w:t>
      </w:r>
      <w:r w:rsidR="003656B7">
        <w:rPr>
          <w:sz w:val="28"/>
          <w:szCs w:val="28"/>
        </w:rPr>
        <w:t xml:space="preserve"> %, практически на уровне 2020</w:t>
      </w:r>
      <w:r w:rsidR="005A1597">
        <w:rPr>
          <w:sz w:val="28"/>
          <w:szCs w:val="28"/>
        </w:rPr>
        <w:t xml:space="preserve"> года.</w:t>
      </w:r>
    </w:p>
    <w:p w:rsidR="00192C00" w:rsidRPr="00A31649" w:rsidRDefault="001B532F" w:rsidP="00095CE2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д</w:t>
      </w:r>
      <w:r w:rsidR="00052826" w:rsidRPr="00052826">
        <w:rPr>
          <w:sz w:val="28"/>
          <w:szCs w:val="28"/>
        </w:rPr>
        <w:t>о</w:t>
      </w:r>
      <w:r>
        <w:rPr>
          <w:sz w:val="28"/>
          <w:szCs w:val="28"/>
        </w:rPr>
        <w:t>бычи</w:t>
      </w:r>
      <w:r w:rsidR="006F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F5758">
        <w:rPr>
          <w:sz w:val="28"/>
          <w:szCs w:val="28"/>
        </w:rPr>
        <w:t xml:space="preserve">бурого медведя </w:t>
      </w:r>
      <w:r w:rsidR="00BC6694">
        <w:rPr>
          <w:sz w:val="28"/>
          <w:szCs w:val="28"/>
        </w:rPr>
        <w:t>буду</w:t>
      </w:r>
      <w:r w:rsidR="00B935B6">
        <w:rPr>
          <w:sz w:val="28"/>
          <w:szCs w:val="28"/>
        </w:rPr>
        <w:t xml:space="preserve">т устанавливаться </w:t>
      </w:r>
      <w:r w:rsidR="00BC6694">
        <w:rPr>
          <w:sz w:val="28"/>
          <w:szCs w:val="28"/>
        </w:rPr>
        <w:t>в зависимости от планируемого</w:t>
      </w:r>
      <w:r w:rsidR="00FD0BA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6AE7">
        <w:rPr>
          <w:sz w:val="28"/>
          <w:szCs w:val="28"/>
        </w:rPr>
        <w:t xml:space="preserve">ъема добычи в конкретном районе, </w:t>
      </w:r>
      <w:r w:rsidR="00D73D52">
        <w:rPr>
          <w:sz w:val="28"/>
          <w:szCs w:val="28"/>
        </w:rPr>
        <w:t xml:space="preserve">до 30 </w:t>
      </w:r>
      <w:r w:rsidR="00476AE7">
        <w:rPr>
          <w:sz w:val="28"/>
          <w:szCs w:val="28"/>
        </w:rPr>
        <w:t>%.</w:t>
      </w:r>
    </w:p>
    <w:p w:rsidR="00211789" w:rsidRPr="00003F2C" w:rsidRDefault="001F436B" w:rsidP="00003F2C">
      <w:pPr>
        <w:ind w:left="-284" w:right="-1" w:firstLine="709"/>
        <w:jc w:val="both"/>
        <w:rPr>
          <w:rFonts w:eastAsia="Calibri"/>
          <w:sz w:val="28"/>
          <w:szCs w:val="28"/>
          <w:lang w:eastAsia="en-US"/>
        </w:rPr>
      </w:pPr>
      <w:r w:rsidRPr="00A417A5">
        <w:rPr>
          <w:rFonts w:eastAsia="Calibri"/>
          <w:sz w:val="28"/>
          <w:szCs w:val="28"/>
          <w:lang w:eastAsia="en-US"/>
        </w:rPr>
        <w:t xml:space="preserve">В соответствии с пунктом 16 Порядка принятия документа об утверждении лимита добычи охотничьих ресурсов и внесения в него изменений, утвержденного приказом Минприроды России от </w:t>
      </w:r>
      <w:r w:rsidR="00D73D52">
        <w:rPr>
          <w:rFonts w:eastAsiaTheme="minorHAnsi"/>
          <w:sz w:val="28"/>
          <w:szCs w:val="28"/>
          <w:lang w:eastAsia="en-US"/>
        </w:rPr>
        <w:t xml:space="preserve">27 ноября </w:t>
      </w:r>
      <w:r w:rsidR="00D73D52" w:rsidRPr="003F5C72">
        <w:rPr>
          <w:rFonts w:eastAsiaTheme="minorHAnsi"/>
          <w:sz w:val="28"/>
          <w:szCs w:val="28"/>
          <w:lang w:eastAsia="en-US"/>
        </w:rPr>
        <w:t xml:space="preserve">2020 </w:t>
      </w:r>
      <w:r w:rsidR="00D73D52">
        <w:rPr>
          <w:rFonts w:eastAsiaTheme="minorHAnsi"/>
          <w:sz w:val="28"/>
          <w:szCs w:val="28"/>
          <w:lang w:eastAsia="en-US"/>
        </w:rPr>
        <w:t xml:space="preserve">№ 981 </w:t>
      </w:r>
      <w:r w:rsidR="00B011F8">
        <w:rPr>
          <w:rFonts w:eastAsia="Calibri"/>
          <w:sz w:val="28"/>
          <w:szCs w:val="28"/>
          <w:lang w:eastAsia="en-US"/>
        </w:rPr>
        <w:t xml:space="preserve">предусмотрена </w:t>
      </w:r>
      <w:r w:rsidR="00C80D29">
        <w:rPr>
          <w:rFonts w:eastAsia="Calibri"/>
          <w:sz w:val="28"/>
          <w:szCs w:val="28"/>
          <w:lang w:eastAsia="en-US"/>
        </w:rPr>
        <w:t>возможность внесения изменений</w:t>
      </w:r>
      <w:r w:rsidR="00AA530A">
        <w:rPr>
          <w:rFonts w:eastAsia="Calibri"/>
          <w:sz w:val="28"/>
          <w:szCs w:val="28"/>
          <w:lang w:eastAsia="en-US"/>
        </w:rPr>
        <w:t xml:space="preserve"> в документ об утверждении</w:t>
      </w:r>
      <w:r w:rsidRPr="00A417A5">
        <w:rPr>
          <w:rFonts w:eastAsia="Calibri"/>
          <w:sz w:val="28"/>
          <w:szCs w:val="28"/>
          <w:lang w:eastAsia="en-US"/>
        </w:rPr>
        <w:t xml:space="preserve"> лим</w:t>
      </w:r>
      <w:r w:rsidR="00AA530A">
        <w:rPr>
          <w:rFonts w:eastAsia="Calibri"/>
          <w:sz w:val="28"/>
          <w:szCs w:val="28"/>
          <w:lang w:eastAsia="en-US"/>
        </w:rPr>
        <w:t xml:space="preserve">ита добычи охотничьих ресурсов </w:t>
      </w:r>
      <w:r w:rsidRPr="00A417A5">
        <w:rPr>
          <w:rFonts w:eastAsia="Calibri"/>
          <w:sz w:val="28"/>
          <w:szCs w:val="28"/>
          <w:lang w:eastAsia="en-US"/>
        </w:rPr>
        <w:t>в случае изменений, не касающихся планируемого объема добычи охотничьих ресурсов.</w:t>
      </w:r>
    </w:p>
    <w:sectPr w:rsidR="00211789" w:rsidRPr="00003F2C" w:rsidSect="00B061FC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9E" w:rsidRDefault="0074749E" w:rsidP="00B061FC">
      <w:r>
        <w:separator/>
      </w:r>
    </w:p>
  </w:endnote>
  <w:endnote w:type="continuationSeparator" w:id="0">
    <w:p w:rsidR="0074749E" w:rsidRDefault="0074749E" w:rsidP="00B0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9E" w:rsidRDefault="0074749E" w:rsidP="00B061FC">
      <w:r>
        <w:separator/>
      </w:r>
    </w:p>
  </w:footnote>
  <w:footnote w:type="continuationSeparator" w:id="0">
    <w:p w:rsidR="0074749E" w:rsidRDefault="0074749E" w:rsidP="00B0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0784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061FC" w:rsidRPr="00B061FC" w:rsidRDefault="00B061FC">
        <w:pPr>
          <w:pStyle w:val="a7"/>
          <w:jc w:val="center"/>
          <w:rPr>
            <w:sz w:val="16"/>
            <w:szCs w:val="16"/>
          </w:rPr>
        </w:pPr>
        <w:r w:rsidRPr="00B061FC">
          <w:rPr>
            <w:sz w:val="16"/>
            <w:szCs w:val="16"/>
          </w:rPr>
          <w:fldChar w:fldCharType="begin"/>
        </w:r>
        <w:r w:rsidRPr="00B061FC">
          <w:rPr>
            <w:sz w:val="16"/>
            <w:szCs w:val="16"/>
          </w:rPr>
          <w:instrText>PAGE   \* MERGEFORMAT</w:instrText>
        </w:r>
        <w:r w:rsidRPr="00B061FC">
          <w:rPr>
            <w:sz w:val="16"/>
            <w:szCs w:val="16"/>
          </w:rPr>
          <w:fldChar w:fldCharType="separate"/>
        </w:r>
        <w:r w:rsidR="009A1A3C">
          <w:rPr>
            <w:noProof/>
            <w:sz w:val="16"/>
            <w:szCs w:val="16"/>
          </w:rPr>
          <w:t>8</w:t>
        </w:r>
        <w:r w:rsidRPr="00B061FC">
          <w:rPr>
            <w:sz w:val="16"/>
            <w:szCs w:val="16"/>
          </w:rPr>
          <w:fldChar w:fldCharType="end"/>
        </w:r>
      </w:p>
    </w:sdtContent>
  </w:sdt>
  <w:p w:rsidR="00B061FC" w:rsidRDefault="00B061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7"/>
    <w:rsid w:val="00002B76"/>
    <w:rsid w:val="00003F2C"/>
    <w:rsid w:val="00011064"/>
    <w:rsid w:val="00015AF8"/>
    <w:rsid w:val="00024F63"/>
    <w:rsid w:val="00052826"/>
    <w:rsid w:val="000554B7"/>
    <w:rsid w:val="00063BB4"/>
    <w:rsid w:val="00082B89"/>
    <w:rsid w:val="00095CE2"/>
    <w:rsid w:val="000A04A3"/>
    <w:rsid w:val="000A04CE"/>
    <w:rsid w:val="000A5DE8"/>
    <w:rsid w:val="000B2211"/>
    <w:rsid w:val="000D7A40"/>
    <w:rsid w:val="000F0223"/>
    <w:rsid w:val="001031C7"/>
    <w:rsid w:val="00104EEE"/>
    <w:rsid w:val="001147CB"/>
    <w:rsid w:val="00117830"/>
    <w:rsid w:val="00133F5E"/>
    <w:rsid w:val="00152975"/>
    <w:rsid w:val="00153AD1"/>
    <w:rsid w:val="00161296"/>
    <w:rsid w:val="00192C00"/>
    <w:rsid w:val="001B532F"/>
    <w:rsid w:val="001B5D9E"/>
    <w:rsid w:val="001F436B"/>
    <w:rsid w:val="002032BB"/>
    <w:rsid w:val="00211789"/>
    <w:rsid w:val="0021440A"/>
    <w:rsid w:val="002358A8"/>
    <w:rsid w:val="00235A75"/>
    <w:rsid w:val="00254CB8"/>
    <w:rsid w:val="002B03A1"/>
    <w:rsid w:val="002D016C"/>
    <w:rsid w:val="002D4B07"/>
    <w:rsid w:val="00312F52"/>
    <w:rsid w:val="00314237"/>
    <w:rsid w:val="00315984"/>
    <w:rsid w:val="00323B87"/>
    <w:rsid w:val="00324CC9"/>
    <w:rsid w:val="00347F04"/>
    <w:rsid w:val="00363A10"/>
    <w:rsid w:val="003656B7"/>
    <w:rsid w:val="00396FF8"/>
    <w:rsid w:val="003B2CD9"/>
    <w:rsid w:val="003B3E52"/>
    <w:rsid w:val="003D639F"/>
    <w:rsid w:val="003F4958"/>
    <w:rsid w:val="003F5C72"/>
    <w:rsid w:val="004106C2"/>
    <w:rsid w:val="00415BE4"/>
    <w:rsid w:val="004372AF"/>
    <w:rsid w:val="00446874"/>
    <w:rsid w:val="004528A0"/>
    <w:rsid w:val="00476AE7"/>
    <w:rsid w:val="0047749E"/>
    <w:rsid w:val="00494475"/>
    <w:rsid w:val="004A7A67"/>
    <w:rsid w:val="004C068F"/>
    <w:rsid w:val="004D2A56"/>
    <w:rsid w:val="004D5C66"/>
    <w:rsid w:val="004D6C7F"/>
    <w:rsid w:val="005132BF"/>
    <w:rsid w:val="00546B06"/>
    <w:rsid w:val="00554E7E"/>
    <w:rsid w:val="00567334"/>
    <w:rsid w:val="00597FFC"/>
    <w:rsid w:val="005A12D1"/>
    <w:rsid w:val="005A1597"/>
    <w:rsid w:val="005A4C5A"/>
    <w:rsid w:val="005B32EE"/>
    <w:rsid w:val="005B6428"/>
    <w:rsid w:val="005C6AEA"/>
    <w:rsid w:val="006057B6"/>
    <w:rsid w:val="0062301D"/>
    <w:rsid w:val="00654849"/>
    <w:rsid w:val="006552E7"/>
    <w:rsid w:val="00692355"/>
    <w:rsid w:val="006C441E"/>
    <w:rsid w:val="006C562D"/>
    <w:rsid w:val="006E6A52"/>
    <w:rsid w:val="006F09FE"/>
    <w:rsid w:val="006F5758"/>
    <w:rsid w:val="007112B8"/>
    <w:rsid w:val="00721B4A"/>
    <w:rsid w:val="0072776E"/>
    <w:rsid w:val="00743242"/>
    <w:rsid w:val="0074749E"/>
    <w:rsid w:val="00767D48"/>
    <w:rsid w:val="00776E87"/>
    <w:rsid w:val="00783E69"/>
    <w:rsid w:val="007842FF"/>
    <w:rsid w:val="007B2471"/>
    <w:rsid w:val="007D1B43"/>
    <w:rsid w:val="007E459F"/>
    <w:rsid w:val="007E7768"/>
    <w:rsid w:val="007F0637"/>
    <w:rsid w:val="007F4211"/>
    <w:rsid w:val="008040F6"/>
    <w:rsid w:val="008105F8"/>
    <w:rsid w:val="00851126"/>
    <w:rsid w:val="00857DEE"/>
    <w:rsid w:val="0089438D"/>
    <w:rsid w:val="008A177C"/>
    <w:rsid w:val="008B220F"/>
    <w:rsid w:val="008D579E"/>
    <w:rsid w:val="008D5D4E"/>
    <w:rsid w:val="008E30DA"/>
    <w:rsid w:val="008F5B91"/>
    <w:rsid w:val="009135C7"/>
    <w:rsid w:val="00937C94"/>
    <w:rsid w:val="0095510F"/>
    <w:rsid w:val="00961B70"/>
    <w:rsid w:val="00965C08"/>
    <w:rsid w:val="00983CF1"/>
    <w:rsid w:val="00985CF2"/>
    <w:rsid w:val="00993967"/>
    <w:rsid w:val="009A1A3C"/>
    <w:rsid w:val="009A4608"/>
    <w:rsid w:val="009A6732"/>
    <w:rsid w:val="009B0D1F"/>
    <w:rsid w:val="009D5487"/>
    <w:rsid w:val="009D6398"/>
    <w:rsid w:val="009D76DA"/>
    <w:rsid w:val="009D7812"/>
    <w:rsid w:val="009E0EF1"/>
    <w:rsid w:val="009F59BB"/>
    <w:rsid w:val="00A04635"/>
    <w:rsid w:val="00A31649"/>
    <w:rsid w:val="00A347B7"/>
    <w:rsid w:val="00A37EB5"/>
    <w:rsid w:val="00AA530A"/>
    <w:rsid w:val="00AE37DC"/>
    <w:rsid w:val="00AE3CCA"/>
    <w:rsid w:val="00B011F8"/>
    <w:rsid w:val="00B037C7"/>
    <w:rsid w:val="00B04F52"/>
    <w:rsid w:val="00B061FC"/>
    <w:rsid w:val="00B1276C"/>
    <w:rsid w:val="00B143E3"/>
    <w:rsid w:val="00B2762B"/>
    <w:rsid w:val="00B426D0"/>
    <w:rsid w:val="00B4561E"/>
    <w:rsid w:val="00B7691B"/>
    <w:rsid w:val="00B935B6"/>
    <w:rsid w:val="00BA3355"/>
    <w:rsid w:val="00BA3C49"/>
    <w:rsid w:val="00BB57D1"/>
    <w:rsid w:val="00BC0AE4"/>
    <w:rsid w:val="00BC6694"/>
    <w:rsid w:val="00BD451E"/>
    <w:rsid w:val="00C00C61"/>
    <w:rsid w:val="00C043D1"/>
    <w:rsid w:val="00C20B38"/>
    <w:rsid w:val="00C346FB"/>
    <w:rsid w:val="00C36BAB"/>
    <w:rsid w:val="00C45345"/>
    <w:rsid w:val="00C4580A"/>
    <w:rsid w:val="00C46E74"/>
    <w:rsid w:val="00C64D77"/>
    <w:rsid w:val="00C749B3"/>
    <w:rsid w:val="00C80D29"/>
    <w:rsid w:val="00C93364"/>
    <w:rsid w:val="00C93CD1"/>
    <w:rsid w:val="00C94422"/>
    <w:rsid w:val="00CC4419"/>
    <w:rsid w:val="00D014FE"/>
    <w:rsid w:val="00D02E2D"/>
    <w:rsid w:val="00D13D8E"/>
    <w:rsid w:val="00D274BC"/>
    <w:rsid w:val="00D47759"/>
    <w:rsid w:val="00D73D52"/>
    <w:rsid w:val="00D82DDC"/>
    <w:rsid w:val="00D8748D"/>
    <w:rsid w:val="00D91DA0"/>
    <w:rsid w:val="00DA566E"/>
    <w:rsid w:val="00DB3B71"/>
    <w:rsid w:val="00DC125E"/>
    <w:rsid w:val="00DE0789"/>
    <w:rsid w:val="00E14FC7"/>
    <w:rsid w:val="00E16555"/>
    <w:rsid w:val="00E17A80"/>
    <w:rsid w:val="00E316BF"/>
    <w:rsid w:val="00E86238"/>
    <w:rsid w:val="00E95008"/>
    <w:rsid w:val="00EA4271"/>
    <w:rsid w:val="00EB4AF7"/>
    <w:rsid w:val="00EF25F6"/>
    <w:rsid w:val="00EF4BA8"/>
    <w:rsid w:val="00F12BAE"/>
    <w:rsid w:val="00F149C3"/>
    <w:rsid w:val="00F15EE9"/>
    <w:rsid w:val="00F17901"/>
    <w:rsid w:val="00F41EF4"/>
    <w:rsid w:val="00F731CC"/>
    <w:rsid w:val="00F81908"/>
    <w:rsid w:val="00F84E7B"/>
    <w:rsid w:val="00F949F7"/>
    <w:rsid w:val="00FC1300"/>
    <w:rsid w:val="00FC3FCE"/>
    <w:rsid w:val="00FD0BA2"/>
    <w:rsid w:val="00FD15A4"/>
    <w:rsid w:val="00FD63AD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7EEA"/>
  <w15:docId w15:val="{563C8D4A-6783-44C5-A65C-6EE0B1B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09DB-4388-4DD6-A4A2-72A84715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8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Владимир Александрович</dc:creator>
  <cp:lastModifiedBy>Иванов Владимир Александрович</cp:lastModifiedBy>
  <cp:revision>177</cp:revision>
  <cp:lastPrinted>2021-02-26T10:03:00Z</cp:lastPrinted>
  <dcterms:created xsi:type="dcterms:W3CDTF">2019-02-12T06:28:00Z</dcterms:created>
  <dcterms:modified xsi:type="dcterms:W3CDTF">2021-02-26T12:21:00Z</dcterms:modified>
</cp:coreProperties>
</file>